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00" w:type="dxa"/>
        <w:jc w:val="left"/>
        <w:tblInd w:w="108" w:type="dxa"/>
        <w:tblLayout w:type="fixed"/>
        <w:tblCellMar>
          <w:top w:w="0" w:type="dxa"/>
          <w:left w:w="108" w:type="dxa"/>
          <w:bottom w:w="0" w:type="dxa"/>
          <w:right w:w="108" w:type="dxa"/>
        </w:tblCellMar>
      </w:tblPr>
      <w:tblGrid>
        <w:gridCol w:w="1894"/>
        <w:gridCol w:w="7105"/>
      </w:tblGrid>
      <w:tr>
        <w:trPr/>
        <w:tc>
          <w:tcPr>
            <w:tcW w:w="1894" w:type="dxa"/>
            <w:tcBorders/>
            <w:shd w:color="auto" w:fill="E7F0F9" w:val="clear"/>
          </w:tcPr>
          <w:p>
            <w:pPr>
              <w:pStyle w:val="Normal"/>
              <w:bidi w:val="0"/>
              <w:spacing w:lineRule="auto" w:line="240" w:before="0" w:after="0"/>
              <w:jc w:val="left"/>
              <w:rPr/>
            </w:pPr>
            <w:r>
              <w:rPr>
                <w:b/>
              </w:rPr>
              <w:t>RKP broj</w:t>
            </w:r>
          </w:p>
        </w:tc>
        <w:tc>
          <w:tcPr>
            <w:tcW w:w="7105" w:type="dxa"/>
            <w:tcBorders/>
            <w:shd w:color="auto" w:fill="E7F0F9" w:val="clear"/>
          </w:tcPr>
          <w:p>
            <w:pPr>
              <w:pStyle w:val="Normal"/>
              <w:bidi w:val="0"/>
              <w:spacing w:lineRule="auto" w:line="240" w:before="0" w:after="0"/>
              <w:jc w:val="left"/>
              <w:rPr/>
            </w:pPr>
            <w:r>
              <w:rPr/>
              <w:t>28055</w:t>
            </w:r>
          </w:p>
        </w:tc>
      </w:tr>
      <w:tr>
        <w:trPr/>
        <w:tc>
          <w:tcPr>
            <w:tcW w:w="1894" w:type="dxa"/>
            <w:tcBorders/>
            <w:shd w:color="auto" w:fill="E7F0F9" w:val="clear"/>
          </w:tcPr>
          <w:p>
            <w:pPr>
              <w:pStyle w:val="Normal"/>
              <w:bidi w:val="0"/>
              <w:spacing w:lineRule="auto" w:line="240" w:before="0" w:after="0"/>
              <w:jc w:val="left"/>
              <w:rPr/>
            </w:pPr>
            <w:r>
              <w:rPr>
                <w:b/>
              </w:rPr>
              <w:t>Naziv obveznika</w:t>
            </w:r>
          </w:p>
        </w:tc>
        <w:tc>
          <w:tcPr>
            <w:tcW w:w="7105" w:type="dxa"/>
            <w:tcBorders/>
            <w:shd w:color="auto" w:fill="E7F0F9" w:val="clear"/>
          </w:tcPr>
          <w:p>
            <w:pPr>
              <w:pStyle w:val="Normal"/>
              <w:bidi w:val="0"/>
              <w:spacing w:lineRule="auto" w:line="240" w:before="0" w:after="0"/>
              <w:jc w:val="left"/>
              <w:rPr/>
            </w:pPr>
            <w:r>
              <w:rPr/>
              <w:t>DJEČJI VRTIĆ KRIŽEVCI</w:t>
            </w:r>
          </w:p>
        </w:tc>
      </w:tr>
      <w:tr>
        <w:trPr/>
        <w:tc>
          <w:tcPr>
            <w:tcW w:w="1894" w:type="dxa"/>
            <w:tcBorders/>
            <w:shd w:color="auto" w:fill="E7F0F9" w:val="clear"/>
          </w:tcPr>
          <w:p>
            <w:pPr>
              <w:pStyle w:val="Normal"/>
              <w:bidi w:val="0"/>
              <w:spacing w:lineRule="auto" w:line="240" w:before="0" w:after="0"/>
              <w:jc w:val="left"/>
              <w:rPr/>
            </w:pPr>
            <w:r>
              <w:rPr>
                <w:b/>
              </w:rPr>
              <w:t>Razina</w:t>
            </w:r>
          </w:p>
        </w:tc>
        <w:tc>
          <w:tcPr>
            <w:tcW w:w="7105" w:type="dxa"/>
            <w:tcBorders/>
            <w:shd w:color="auto" w:fill="E7F0F9" w:val="clear"/>
          </w:tcPr>
          <w:p>
            <w:pPr>
              <w:pStyle w:val="Normal"/>
              <w:bidi w:val="0"/>
              <w:spacing w:lineRule="auto" w:line="240" w:before="0" w:after="0"/>
              <w:jc w:val="left"/>
              <w:rPr/>
            </w:pPr>
            <w:r>
              <w:rPr/>
              <w:t>21</w:t>
            </w:r>
          </w:p>
        </w:tc>
      </w:tr>
    </w:tbl>
    <w:p>
      <w:pPr>
        <w:pStyle w:val="Normal"/>
        <w:bidi w:val="0"/>
        <w:jc w:val="left"/>
        <w:rPr/>
      </w:pPr>
      <w:r>
        <w:rPr/>
        <w:br/>
      </w:r>
    </w:p>
    <w:p>
      <w:pPr>
        <w:pStyle w:val="Normal"/>
        <w:bidi w:val="0"/>
        <w:spacing w:lineRule="auto" w:line="240"/>
        <w:jc w:val="center"/>
        <w:rPr/>
      </w:pPr>
      <w:r>
        <w:rPr>
          <w:b/>
          <w:sz w:val="28"/>
        </w:rPr>
        <w:t>BILJEŠKE UZ FINANCIJSKE IZVJEŠTAJE</w:t>
      </w:r>
    </w:p>
    <w:p>
      <w:pPr>
        <w:pStyle w:val="Normal"/>
        <w:bidi w:val="0"/>
        <w:spacing w:lineRule="auto" w:line="240"/>
        <w:jc w:val="center"/>
        <w:rPr/>
      </w:pPr>
      <w:r>
        <w:rPr>
          <w:b/>
          <w:sz w:val="28"/>
        </w:rPr>
        <w:t>ZA RAZDOBLJE</w:t>
      </w:r>
    </w:p>
    <w:p>
      <w:pPr>
        <w:pStyle w:val="Normal"/>
        <w:bidi w:val="0"/>
        <w:spacing w:lineRule="auto" w:line="240"/>
        <w:jc w:val="center"/>
        <w:rPr/>
      </w:pPr>
      <w:r>
        <w:rPr>
          <w:b/>
          <w:sz w:val="28"/>
        </w:rPr>
        <w:t>I - XII 2025.</w:t>
      </w:r>
    </w:p>
    <w:p>
      <w:pPr>
        <w:pStyle w:val="Normal"/>
        <w:bidi w:val="0"/>
        <w:jc w:val="left"/>
        <w:rPr/>
      </w:pPr>
      <w:r>
        <w:rPr/>
      </w:r>
    </w:p>
    <w:p>
      <w:pPr>
        <w:pStyle w:val="Normal"/>
        <w:keepNext w:val="true"/>
        <w:bidi w:val="0"/>
        <w:spacing w:lineRule="auto" w:line="240"/>
        <w:jc w:val="center"/>
        <w:rPr/>
      </w:pPr>
      <w:r>
        <w:rPr>
          <w:b/>
          <w:sz w:val="28"/>
        </w:rPr>
        <w:t>Izvještaj o prihodima i rashodima, primicima i izdacima</w:t>
      </w:r>
    </w:p>
    <w:p>
      <w:pPr>
        <w:pStyle w:val="Normal"/>
        <w:keepNext w:val="true"/>
        <w:bidi w:val="0"/>
        <w:spacing w:lineRule="auto" w:line="240"/>
        <w:jc w:val="center"/>
        <w:rPr/>
      </w:pPr>
      <w:r>
        <w:rPr>
          <w:sz w:val="28"/>
        </w:rPr>
        <w:t>Bilješka 1.</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6</w:t>
            </w:r>
          </w:p>
        </w:tc>
        <w:tc>
          <w:tcPr>
            <w:tcW w:w="317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PRIHODI POSLOVANJA (šifre 61+62+63+64+65+66+67+68)</w:t>
            </w:r>
          </w:p>
        </w:tc>
        <w:tc>
          <w:tcPr>
            <w:tcW w:w="701"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6</w:t>
            </w:r>
          </w:p>
        </w:tc>
        <w:tc>
          <w:tcPr>
            <w:tcW w:w="1860"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1.388.966,48</w:t>
            </w:r>
          </w:p>
        </w:tc>
        <w:tc>
          <w:tcPr>
            <w:tcW w:w="185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1.787.391,56</w:t>
            </w:r>
          </w:p>
        </w:tc>
        <w:tc>
          <w:tcPr>
            <w:tcW w:w="700" w:type="dxa"/>
            <w:tcBorders>
              <w:top w:val="single" w:sz="8" w:space="0" w:color="BABABA"/>
              <w:left w:val="single" w:sz="8" w:space="0" w:color="DADADA"/>
              <w:bottom w:val="single" w:sz="8" w:space="0" w:color="BABABA"/>
              <w:right w:val="single" w:sz="12" w:space="0" w:color="BABABA"/>
            </w:tcBorders>
            <w:vAlign w:val="center"/>
          </w:tcPr>
          <w:p>
            <w:pPr>
              <w:pStyle w:val="Normal"/>
              <w:keepNext w:val="true"/>
              <w:keepLines/>
              <w:bidi w:val="0"/>
              <w:spacing w:lineRule="auto" w:line="240" w:before="0" w:after="0"/>
              <w:jc w:val="right"/>
              <w:rPr/>
            </w:pPr>
            <w:r>
              <w:rPr>
                <w:sz w:val="18"/>
              </w:rPr>
              <w:t>128,7</w:t>
            </w:r>
          </w:p>
        </w:tc>
      </w:tr>
      <w:tr>
        <w:trPr>
          <w:trHeight w:val="560" w:hRule="atLeast"/>
          <w:cantSplit w:val="true"/>
        </w:trPr>
        <w:tc>
          <w:tcPr>
            <w:tcW w:w="700" w:type="dxa"/>
            <w:tcBorders>
              <w:top w:val="single" w:sz="8" w:space="0" w:color="BABABA"/>
              <w:left w:val="single" w:sz="12" w:space="0" w:color="BABAB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3</w:t>
            </w:r>
          </w:p>
        </w:tc>
        <w:tc>
          <w:tcPr>
            <w:tcW w:w="317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RASHODI POSLOVANJA (šifre 31+32+34+35+36+37+38)</w:t>
            </w:r>
          </w:p>
        </w:tc>
        <w:tc>
          <w:tcPr>
            <w:tcW w:w="701"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3</w:t>
            </w:r>
          </w:p>
        </w:tc>
        <w:tc>
          <w:tcPr>
            <w:tcW w:w="1860"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1.327.316,48</w:t>
            </w:r>
          </w:p>
        </w:tc>
        <w:tc>
          <w:tcPr>
            <w:tcW w:w="185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1.887.808,74</w:t>
            </w:r>
          </w:p>
        </w:tc>
        <w:tc>
          <w:tcPr>
            <w:tcW w:w="700" w:type="dxa"/>
            <w:tcBorders>
              <w:top w:val="single" w:sz="8" w:space="0" w:color="BABABA"/>
              <w:left w:val="single" w:sz="8" w:space="0" w:color="DADADA"/>
              <w:bottom w:val="single" w:sz="8" w:space="0" w:color="BABABA"/>
              <w:right w:val="single" w:sz="12" w:space="0" w:color="BABABA"/>
            </w:tcBorders>
            <w:vAlign w:val="center"/>
          </w:tcPr>
          <w:p>
            <w:pPr>
              <w:pStyle w:val="Normal"/>
              <w:keepNext w:val="true"/>
              <w:keepLines/>
              <w:bidi w:val="0"/>
              <w:spacing w:lineRule="auto" w:line="240" w:before="0" w:after="0"/>
              <w:jc w:val="right"/>
              <w:rPr/>
            </w:pPr>
            <w:r>
              <w:rPr>
                <w:sz w:val="18"/>
              </w:rPr>
              <w:t>142,2</w:t>
            </w:r>
          </w:p>
        </w:tc>
      </w:tr>
      <w:tr>
        <w:trPr>
          <w:trHeight w:val="560" w:hRule="atLeast"/>
          <w:cantSplit w:val="true"/>
        </w:trPr>
        <w:tc>
          <w:tcPr>
            <w:tcW w:w="700" w:type="dxa"/>
            <w:tcBorders>
              <w:top w:val="single" w:sz="8" w:space="0" w:color="BABABA"/>
              <w:left w:val="single" w:sz="12" w:space="0" w:color="BABABA"/>
              <w:bottom w:val="single" w:sz="8" w:space="0" w:color="BABABA"/>
              <w:right w:val="single" w:sz="8" w:space="0" w:color="DADADA"/>
            </w:tcBorders>
            <w:vAlign w:val="center"/>
          </w:tcPr>
          <w:p>
            <w:pPr>
              <w:pStyle w:val="Normal"/>
              <w:keepNext w:val="true"/>
              <w:keepLines/>
              <w:bidi w:val="0"/>
              <w:spacing w:lineRule="auto" w:line="240" w:before="0" w:after="0"/>
              <w:jc w:val="left"/>
              <w:rPr>
                <w:rFonts w:ascii="Times New Roman" w:hAnsi="Times New Roman"/>
                <w:b/>
                <w:sz w:val="18"/>
              </w:rPr>
            </w:pPr>
            <w:r>
              <w:rPr>
                <w:b/>
                <w:sz w:val="18"/>
              </w:rPr>
            </w:r>
          </w:p>
        </w:tc>
        <w:tc>
          <w:tcPr>
            <w:tcW w:w="317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b/>
                <w:sz w:val="18"/>
              </w:rPr>
              <w:t>MANJAK PRIHODA POSLOVANJA (šifre Z005-6)</w:t>
            </w:r>
          </w:p>
        </w:tc>
        <w:tc>
          <w:tcPr>
            <w:tcW w:w="701"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b/>
                <w:sz w:val="18"/>
              </w:rPr>
              <w:t>Y001</w:t>
            </w:r>
          </w:p>
        </w:tc>
        <w:tc>
          <w:tcPr>
            <w:tcW w:w="1860"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b/>
                <w:sz w:val="18"/>
              </w:rPr>
              <w:t>0,00</w:t>
            </w:r>
          </w:p>
        </w:tc>
        <w:tc>
          <w:tcPr>
            <w:tcW w:w="185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b/>
                <w:sz w:val="18"/>
              </w:rPr>
              <w:t>100.417,18</w:t>
            </w:r>
          </w:p>
        </w:tc>
        <w:tc>
          <w:tcPr>
            <w:tcW w:w="700" w:type="dxa"/>
            <w:tcBorders>
              <w:top w:val="single" w:sz="8" w:space="0" w:color="BABABA"/>
              <w:left w:val="single" w:sz="8" w:space="0" w:color="DADADA"/>
              <w:bottom w:val="single" w:sz="8" w:space="0" w:color="BABABA"/>
              <w:right w:val="single" w:sz="12" w:space="0" w:color="BABABA"/>
            </w:tcBorders>
            <w:vAlign w:val="center"/>
          </w:tcPr>
          <w:p>
            <w:pPr>
              <w:pStyle w:val="Normal"/>
              <w:keepNext w:val="true"/>
              <w:keepLines/>
              <w:bidi w:val="0"/>
              <w:spacing w:lineRule="auto" w:line="240" w:before="0" w:after="0"/>
              <w:jc w:val="right"/>
              <w:rPr/>
            </w:pPr>
            <w:r>
              <w:rPr>
                <w:b/>
                <w:sz w:val="18"/>
              </w:rPr>
              <w:t>-</w:t>
            </w:r>
          </w:p>
        </w:tc>
      </w:tr>
      <w:tr>
        <w:trPr>
          <w:trHeight w:val="560" w:hRule="atLeast"/>
          <w:cantSplit w:val="true"/>
        </w:trPr>
        <w:tc>
          <w:tcPr>
            <w:tcW w:w="700" w:type="dxa"/>
            <w:tcBorders>
              <w:top w:val="single" w:sz="8" w:space="0" w:color="BABABA"/>
              <w:left w:val="single" w:sz="12" w:space="0" w:color="BABAB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7</w:t>
            </w:r>
          </w:p>
        </w:tc>
        <w:tc>
          <w:tcPr>
            <w:tcW w:w="317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Prihodi od prodaje nefinancijske imovine (šifre 71+72+73+74)</w:t>
            </w:r>
          </w:p>
        </w:tc>
        <w:tc>
          <w:tcPr>
            <w:tcW w:w="701"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7</w:t>
            </w:r>
          </w:p>
        </w:tc>
        <w:tc>
          <w:tcPr>
            <w:tcW w:w="1860"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185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700" w:type="dxa"/>
            <w:tcBorders>
              <w:top w:val="single" w:sz="8" w:space="0" w:color="BABABA"/>
              <w:left w:val="single" w:sz="8" w:space="0" w:color="DADADA"/>
              <w:bottom w:val="single" w:sz="8"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r>
        <w:trPr>
          <w:trHeight w:val="560" w:hRule="atLeast"/>
          <w:cantSplit w:val="true"/>
        </w:trPr>
        <w:tc>
          <w:tcPr>
            <w:tcW w:w="700" w:type="dxa"/>
            <w:tcBorders>
              <w:top w:val="single" w:sz="8" w:space="0" w:color="BABABA"/>
              <w:left w:val="single" w:sz="12" w:space="0" w:color="BABAB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4</w:t>
            </w:r>
          </w:p>
        </w:tc>
        <w:tc>
          <w:tcPr>
            <w:tcW w:w="317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Rashodi za nabavu nefinancijske imovine (šifre 41+42+43+44+45)</w:t>
            </w:r>
          </w:p>
        </w:tc>
        <w:tc>
          <w:tcPr>
            <w:tcW w:w="701"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4</w:t>
            </w:r>
          </w:p>
        </w:tc>
        <w:tc>
          <w:tcPr>
            <w:tcW w:w="1860"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25.759,46</w:t>
            </w:r>
          </w:p>
        </w:tc>
        <w:tc>
          <w:tcPr>
            <w:tcW w:w="185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7.850,16</w:t>
            </w:r>
          </w:p>
        </w:tc>
        <w:tc>
          <w:tcPr>
            <w:tcW w:w="700" w:type="dxa"/>
            <w:tcBorders>
              <w:top w:val="single" w:sz="8" w:space="0" w:color="BABABA"/>
              <w:left w:val="single" w:sz="8" w:space="0" w:color="DADADA"/>
              <w:bottom w:val="single" w:sz="8" w:space="0" w:color="BABABA"/>
              <w:right w:val="single" w:sz="12" w:space="0" w:color="BABABA"/>
            </w:tcBorders>
            <w:vAlign w:val="center"/>
          </w:tcPr>
          <w:p>
            <w:pPr>
              <w:pStyle w:val="Normal"/>
              <w:keepNext w:val="true"/>
              <w:keepLines/>
              <w:bidi w:val="0"/>
              <w:spacing w:lineRule="auto" w:line="240" w:before="0" w:after="0"/>
              <w:jc w:val="right"/>
              <w:rPr/>
            </w:pPr>
            <w:r>
              <w:rPr>
                <w:sz w:val="18"/>
              </w:rPr>
              <w:t>30,5</w:t>
            </w:r>
          </w:p>
        </w:tc>
      </w:tr>
      <w:tr>
        <w:trPr>
          <w:trHeight w:val="560" w:hRule="atLeast"/>
          <w:cantSplit w:val="true"/>
        </w:trPr>
        <w:tc>
          <w:tcPr>
            <w:tcW w:w="700" w:type="dxa"/>
            <w:tcBorders>
              <w:top w:val="single" w:sz="8" w:space="0" w:color="BABABA"/>
              <w:left w:val="single" w:sz="12" w:space="0" w:color="BABABA"/>
              <w:bottom w:val="single" w:sz="8" w:space="0" w:color="BABABA"/>
              <w:right w:val="single" w:sz="8" w:space="0" w:color="DADADA"/>
            </w:tcBorders>
            <w:vAlign w:val="center"/>
          </w:tcPr>
          <w:p>
            <w:pPr>
              <w:pStyle w:val="Normal"/>
              <w:keepNext w:val="true"/>
              <w:keepLines/>
              <w:bidi w:val="0"/>
              <w:spacing w:lineRule="auto" w:line="240" w:before="0" w:after="0"/>
              <w:jc w:val="left"/>
              <w:rPr>
                <w:rFonts w:ascii="Times New Roman" w:hAnsi="Times New Roman"/>
                <w:b/>
                <w:sz w:val="18"/>
              </w:rPr>
            </w:pPr>
            <w:r>
              <w:rPr>
                <w:b/>
                <w:sz w:val="18"/>
              </w:rPr>
            </w:r>
          </w:p>
        </w:tc>
        <w:tc>
          <w:tcPr>
            <w:tcW w:w="317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b/>
                <w:sz w:val="18"/>
              </w:rPr>
              <w:t>MANJAK PRIHODA OD NEFINANCIJSKE IMOVINE (šifre 4-7)</w:t>
            </w:r>
          </w:p>
        </w:tc>
        <w:tc>
          <w:tcPr>
            <w:tcW w:w="701"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b/>
                <w:sz w:val="18"/>
              </w:rPr>
              <w:t>Y002</w:t>
            </w:r>
          </w:p>
        </w:tc>
        <w:tc>
          <w:tcPr>
            <w:tcW w:w="1860"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b/>
                <w:sz w:val="18"/>
              </w:rPr>
              <w:t>25.759,46</w:t>
            </w:r>
          </w:p>
        </w:tc>
        <w:tc>
          <w:tcPr>
            <w:tcW w:w="185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b/>
                <w:sz w:val="18"/>
              </w:rPr>
              <w:t>7.850,16</w:t>
            </w:r>
          </w:p>
        </w:tc>
        <w:tc>
          <w:tcPr>
            <w:tcW w:w="700" w:type="dxa"/>
            <w:tcBorders>
              <w:top w:val="single" w:sz="8" w:space="0" w:color="BABABA"/>
              <w:left w:val="single" w:sz="8" w:space="0" w:color="DADADA"/>
              <w:bottom w:val="single" w:sz="8" w:space="0" w:color="BABABA"/>
              <w:right w:val="single" w:sz="12" w:space="0" w:color="BABABA"/>
            </w:tcBorders>
            <w:vAlign w:val="center"/>
          </w:tcPr>
          <w:p>
            <w:pPr>
              <w:pStyle w:val="Normal"/>
              <w:keepNext w:val="true"/>
              <w:keepLines/>
              <w:bidi w:val="0"/>
              <w:spacing w:lineRule="auto" w:line="240" w:before="0" w:after="0"/>
              <w:jc w:val="right"/>
              <w:rPr/>
            </w:pPr>
            <w:r>
              <w:rPr>
                <w:b/>
                <w:sz w:val="18"/>
              </w:rPr>
              <w:t>30,5</w:t>
            </w:r>
          </w:p>
        </w:tc>
      </w:tr>
      <w:tr>
        <w:trPr>
          <w:trHeight w:val="560" w:hRule="atLeast"/>
          <w:cantSplit w:val="true"/>
        </w:trPr>
        <w:tc>
          <w:tcPr>
            <w:tcW w:w="700" w:type="dxa"/>
            <w:tcBorders>
              <w:top w:val="single" w:sz="8" w:space="0" w:color="BABABA"/>
              <w:left w:val="single" w:sz="12" w:space="0" w:color="BABAB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8</w:t>
            </w:r>
          </w:p>
        </w:tc>
        <w:tc>
          <w:tcPr>
            <w:tcW w:w="317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Primici od financijske imovine i zaduživanja (šifre 81+82+83+84+85)</w:t>
            </w:r>
          </w:p>
        </w:tc>
        <w:tc>
          <w:tcPr>
            <w:tcW w:w="701"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8</w:t>
            </w:r>
          </w:p>
        </w:tc>
        <w:tc>
          <w:tcPr>
            <w:tcW w:w="1860"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185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700" w:type="dxa"/>
            <w:tcBorders>
              <w:top w:val="single" w:sz="8" w:space="0" w:color="BABABA"/>
              <w:left w:val="single" w:sz="8" w:space="0" w:color="DADADA"/>
              <w:bottom w:val="single" w:sz="8"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r>
        <w:trPr>
          <w:trHeight w:val="560" w:hRule="atLeast"/>
          <w:cantSplit w:val="true"/>
        </w:trPr>
        <w:tc>
          <w:tcPr>
            <w:tcW w:w="700" w:type="dxa"/>
            <w:tcBorders>
              <w:top w:val="single" w:sz="8" w:space="0" w:color="BABABA"/>
              <w:left w:val="single" w:sz="12" w:space="0" w:color="BABAB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5</w:t>
            </w:r>
          </w:p>
        </w:tc>
        <w:tc>
          <w:tcPr>
            <w:tcW w:w="317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Izdaci za financijsku imovinu i otplate zajmova (šifre 51+52+53+54+55)</w:t>
            </w:r>
          </w:p>
        </w:tc>
        <w:tc>
          <w:tcPr>
            <w:tcW w:w="701"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5</w:t>
            </w:r>
          </w:p>
        </w:tc>
        <w:tc>
          <w:tcPr>
            <w:tcW w:w="1860"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185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700" w:type="dxa"/>
            <w:tcBorders>
              <w:top w:val="single" w:sz="8" w:space="0" w:color="BABABA"/>
              <w:left w:val="single" w:sz="8" w:space="0" w:color="DADADA"/>
              <w:bottom w:val="single" w:sz="8"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r>
        <w:trPr>
          <w:trHeight w:val="560" w:hRule="atLeast"/>
          <w:cantSplit w:val="true"/>
        </w:trPr>
        <w:tc>
          <w:tcPr>
            <w:tcW w:w="700" w:type="dxa"/>
            <w:tcBorders>
              <w:top w:val="single" w:sz="8" w:space="0" w:color="BABABA"/>
              <w:left w:val="single" w:sz="12" w:space="0" w:color="BABABA"/>
              <w:bottom w:val="single" w:sz="8" w:space="0" w:color="BABABA"/>
              <w:right w:val="single" w:sz="8" w:space="0" w:color="DADADA"/>
            </w:tcBorders>
            <w:vAlign w:val="center"/>
          </w:tcPr>
          <w:p>
            <w:pPr>
              <w:pStyle w:val="Normal"/>
              <w:keepNext w:val="true"/>
              <w:keepLines/>
              <w:bidi w:val="0"/>
              <w:spacing w:lineRule="auto" w:line="240" w:before="0" w:after="0"/>
              <w:jc w:val="left"/>
              <w:rPr>
                <w:rFonts w:ascii="Times New Roman" w:hAnsi="Times New Roman"/>
                <w:b/>
                <w:sz w:val="18"/>
              </w:rPr>
            </w:pPr>
            <w:r>
              <w:rPr>
                <w:b/>
                <w:sz w:val="18"/>
              </w:rPr>
            </w:r>
          </w:p>
        </w:tc>
        <w:tc>
          <w:tcPr>
            <w:tcW w:w="317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b/>
                <w:sz w:val="18"/>
              </w:rPr>
              <w:t>VIŠAK/MANJAK PRIMITAKA OD FINANCIJSKE IMOVINE I ZADUŽIVANJA (šifre 8-5, 5-8)</w:t>
            </w:r>
          </w:p>
        </w:tc>
        <w:tc>
          <w:tcPr>
            <w:tcW w:w="701"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b/>
                <w:sz w:val="18"/>
              </w:rPr>
              <w:t>X003, Y003</w:t>
            </w:r>
          </w:p>
        </w:tc>
        <w:tc>
          <w:tcPr>
            <w:tcW w:w="1860"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b/>
                <w:sz w:val="18"/>
              </w:rPr>
              <w:t>0,00</w:t>
            </w:r>
          </w:p>
        </w:tc>
        <w:tc>
          <w:tcPr>
            <w:tcW w:w="185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b/>
                <w:sz w:val="18"/>
              </w:rPr>
              <w:t>0,00</w:t>
            </w:r>
          </w:p>
        </w:tc>
        <w:tc>
          <w:tcPr>
            <w:tcW w:w="700" w:type="dxa"/>
            <w:tcBorders>
              <w:top w:val="single" w:sz="8" w:space="0" w:color="BABABA"/>
              <w:left w:val="single" w:sz="8" w:space="0" w:color="DADADA"/>
              <w:bottom w:val="single" w:sz="8" w:space="0" w:color="BABABA"/>
              <w:right w:val="single" w:sz="12" w:space="0" w:color="BABABA"/>
            </w:tcBorders>
            <w:vAlign w:val="center"/>
          </w:tcPr>
          <w:p>
            <w:pPr>
              <w:pStyle w:val="Normal"/>
              <w:keepNext w:val="true"/>
              <w:keepLines/>
              <w:bidi w:val="0"/>
              <w:spacing w:lineRule="auto" w:line="240" w:before="0" w:after="0"/>
              <w:jc w:val="right"/>
              <w:rPr/>
            </w:pPr>
            <w:r>
              <w:rPr>
                <w:b/>
                <w:sz w:val="18"/>
              </w:rPr>
              <w:t>-</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rFonts w:ascii="Times New Roman" w:hAnsi="Times New Roman"/>
                <w:b/>
                <w:sz w:val="18"/>
              </w:rPr>
            </w:pPr>
            <w:r>
              <w:rPr>
                <w:b/>
                <w:sz w:val="18"/>
              </w:rPr>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b/>
                <w:sz w:val="18"/>
              </w:rPr>
              <w:t>MANJAK PRIHODA I PRIMITAKA (šifre Y345-X678)</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b/>
                <w:sz w:val="18"/>
              </w:rPr>
              <w:t>Y005</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b/>
                <w:sz w:val="18"/>
              </w:rPr>
              <w:t>0,00</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b/>
                <w:sz w:val="18"/>
              </w:rPr>
              <w:t>108.267,34</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b/>
                <w:sz w:val="18"/>
              </w:rPr>
              <w:t>-</w:t>
            </w:r>
          </w:p>
        </w:tc>
      </w:tr>
    </w:tbl>
    <w:p>
      <w:pPr>
        <w:pStyle w:val="Normal"/>
        <w:bidi w:val="0"/>
        <w:spacing w:before="0" w:after="0"/>
        <w:jc w:val="left"/>
        <w:rPr/>
      </w:pPr>
      <w:r>
        <w:rPr/>
      </w:r>
    </w:p>
    <w:p>
      <w:pPr>
        <w:pStyle w:val="Normal"/>
        <w:bidi w:val="0"/>
        <w:jc w:val="left"/>
        <w:rPr/>
      </w:pPr>
      <w:r>
        <w:rPr/>
        <w:t>Financijski plan Dječjeg vrtića Križevci za 2025. godinu i projekcije za 2026. i 2027. godinu usvojilo je Gradsko vijeće Grada Križevaca na 24. sjednici održanoj 17. prosinca 2024. godine nakon čega je potvrđen 30. prosinca 2025. na 65. sjednici Upravnog vijeća Dječjeg vrtića Križevci s ukupnim planom prihoda i primitaka te rashoda i izdataka za 2025. godinu u iznosu od 1.938.530,00 eura. Po izradi Godišnjeg financijskog izvještaja za 2024. godinu utvrđeno je da Proračun Dječjeg vrtića Križevci u 2025. godinu prenosi višak prihoda i primitaka u iznosu 123.700,26 eura. Rebalansom proračuna Prihodi su povećani na 1.940.689,43 eura, a rashodi na  2.064.389,69 eura.</w:t>
      </w:r>
    </w:p>
    <w:p>
      <w:pPr>
        <w:pStyle w:val="Normal"/>
        <w:bidi w:val="0"/>
        <w:jc w:val="left"/>
        <w:rPr/>
      </w:pPr>
      <w:r>
        <w:rPr/>
        <w:t>Ukupno ostvareni prihodi i primici Dječjeg vrtića Križevci u razdoblju od 01. siječnja do 31. prosinca 2025. godine iznose  1.787.391,56 eura. Povećanje prihoda u odnosu na prethodnu godinu odnosi se najvećim dijelom na povećanje prihoda za rashode za zaposlene, zbog zapošljavanja dodatnog broja odgojiteljica. Ukupni rashodi i izdaci u razdoblju od 01. siječnja do 31. prosinca 2025. godine iznose 1.887.808,74 eura. Povećanje je to u odnosu na isto razdoblje prošle godine za 42,2% i najvećim dijelom odnosi se na rashode za zaposlene, zbog povećanja osnovice i značajnog povećanja koeficijenata za plaće, kao i povećanja materijalnih prava za zaposlene.</w:t>
      </w:r>
    </w:p>
    <w:p>
      <w:pPr>
        <w:pStyle w:val="Normal"/>
        <w:bidi w:val="0"/>
        <w:jc w:val="left"/>
        <w:rPr/>
      </w:pPr>
      <w:r>
        <w:rPr/>
        <w:t> </w:t>
      </w:r>
    </w:p>
    <w:p>
      <w:pPr>
        <w:pStyle w:val="Normal"/>
        <w:bidi w:val="0"/>
        <w:jc w:val="left"/>
        <w:rPr/>
      </w:pPr>
      <w:r>
        <w:rPr/>
        <w:br/>
      </w:r>
    </w:p>
    <w:p>
      <w:pPr>
        <w:pStyle w:val="Normal"/>
        <w:keepNext w:val="true"/>
        <w:bidi w:val="0"/>
        <w:spacing w:lineRule="auto" w:line="240"/>
        <w:jc w:val="center"/>
        <w:rPr/>
      </w:pPr>
      <w:r>
        <w:rPr>
          <w:sz w:val="28"/>
        </w:rPr>
        <w:t>Bilješka 2.</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6361</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Tekuće pomoći proračunskim korisnicima iz proračuna koji im nije nadležan</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6361</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8.733,60</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6.631,30</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75,9</w:t>
            </w:r>
          </w:p>
        </w:tc>
      </w:tr>
    </w:tbl>
    <w:p>
      <w:pPr>
        <w:pStyle w:val="Normal"/>
        <w:bidi w:val="0"/>
        <w:spacing w:before="0" w:after="0"/>
        <w:jc w:val="left"/>
        <w:rPr/>
      </w:pPr>
      <w:r>
        <w:rPr/>
      </w:r>
    </w:p>
    <w:p>
      <w:pPr>
        <w:pStyle w:val="Normal"/>
        <w:bidi w:val="0"/>
        <w:jc w:val="left"/>
        <w:rPr/>
      </w:pPr>
      <w:r>
        <w:rPr/>
        <w:t>Ukupni prihodi u izvještajnom razdoblju ostvareni su u manjem iznosu u odnosu na prethodnu godinu, prvenstveno zbog dinamike doznake sredstava od strane Ministarstva znanosti, obrazovanja i mladih.</w:t>
        <w:br/>
        <w:t>Na poziciji prihoda za djecu s teškoćama u redovnim skupinama, od planiranih sedam rata, u dva isplatna ciklusa doznačena su sredstva u visini od 3,5 rate. Navedeno je rezultiralo odstupanjem u odnosu na planirana sredstva za 2025. godinu.</w:t>
        <w:br/>
        <w:t>S druge strane, prihodi za program predškole realizirani su u punom iznosu (doznačeno svih 8 rata), kao i sredstva za sufinanciranje roditeljskog udjela za pripadnike romske nacionalne manjine, za koje su uplaćene sve planirane rate za 2025. godinu</w:t>
      </w:r>
    </w:p>
    <w:p>
      <w:pPr>
        <w:pStyle w:val="Normal"/>
        <w:bidi w:val="0"/>
        <w:jc w:val="left"/>
        <w:rPr/>
      </w:pPr>
      <w:r>
        <w:rPr/>
      </w:r>
    </w:p>
    <w:p>
      <w:pPr>
        <w:pStyle w:val="Normal"/>
        <w:keepNext w:val="true"/>
        <w:bidi w:val="0"/>
        <w:spacing w:lineRule="auto" w:line="240"/>
        <w:jc w:val="center"/>
        <w:rPr/>
      </w:pPr>
      <w:r>
        <w:rPr>
          <w:sz w:val="28"/>
        </w:rPr>
        <w:t>Bilješka 3.</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6526</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Ostali nespomenuti prihodi</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6526</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196.663,82</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218.234,65</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111,0</w:t>
            </w:r>
          </w:p>
        </w:tc>
      </w:tr>
    </w:tbl>
    <w:p>
      <w:pPr>
        <w:pStyle w:val="Normal"/>
        <w:bidi w:val="0"/>
        <w:spacing w:before="0" w:after="0"/>
        <w:jc w:val="left"/>
        <w:rPr/>
      </w:pPr>
      <w:r>
        <w:rPr/>
      </w:r>
    </w:p>
    <w:p>
      <w:pPr>
        <w:pStyle w:val="Normal"/>
        <w:bidi w:val="0"/>
        <w:jc w:val="left"/>
        <w:rPr/>
      </w:pPr>
      <w:r>
        <w:rPr/>
        <w:t>Prihodi po posebnim propisima (skupina 65), koji se odnose na sufinanciranje cijene usluge od strane roditelja, ostvareni su u iznosu od 218.234,65 EUR, što predstavlja značajan porast u odnosu na prethodnu izvještajnu godinu.</w:t>
        <w:br/>
        <w:t xml:space="preserve">Navedeno povećanje izravna je </w:t>
      </w:r>
      <w:r>
        <w:rPr/>
        <w:t>posljedica</w:t>
      </w:r>
      <w:r>
        <w:rPr/>
        <w:t xml:space="preserve"> većeg broja polaznika dječjeg vrtića u razdoblju od siječnja do rujna 2025. godine u usporedbi s istim razdobljem prethodne godine. Veći obuhvat djece rezultirao je proporcionalnim rastom vlastitih prihoda od uplata roditelja, sukladno važećim odlukama o participaciji.</w:t>
      </w:r>
    </w:p>
    <w:p>
      <w:pPr>
        <w:pStyle w:val="Normal"/>
        <w:bidi w:val="0"/>
        <w:jc w:val="left"/>
        <w:rPr/>
      </w:pPr>
      <w:r>
        <w:rPr/>
      </w:r>
    </w:p>
    <w:p>
      <w:pPr>
        <w:pStyle w:val="Normal"/>
        <w:keepNext w:val="true"/>
        <w:bidi w:val="0"/>
        <w:spacing w:lineRule="auto" w:line="240"/>
        <w:jc w:val="center"/>
        <w:rPr/>
      </w:pPr>
      <w:r>
        <w:rPr>
          <w:sz w:val="28"/>
        </w:rPr>
        <w:t>Bilješka 4.</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6631</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Tekuće donacije</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6631</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481,27</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484,98</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100,8</w:t>
            </w:r>
          </w:p>
        </w:tc>
      </w:tr>
    </w:tbl>
    <w:p>
      <w:pPr>
        <w:pStyle w:val="Normal"/>
        <w:bidi w:val="0"/>
        <w:spacing w:before="0" w:after="0"/>
        <w:jc w:val="left"/>
        <w:rPr/>
      </w:pPr>
      <w:r>
        <w:rPr/>
      </w:r>
    </w:p>
    <w:p>
      <w:pPr>
        <w:pStyle w:val="Normal"/>
        <w:bidi w:val="0"/>
        <w:jc w:val="left"/>
        <w:rPr/>
      </w:pPr>
      <w:r>
        <w:rPr/>
        <w:t>Donacije (skupina 66) ostvarene su u ukupnom iznosu od 484,98 EUR, a odnose se na namjenska sredstva primljena od pravnih i fizičkih osoba izvan općeg proračuna:</w:t>
        <w:br/>
        <w:t>Donacije neprofitnih organizacija (450,00 EUR): Sredstva doznačena od strane Zajednice športskih udruga Grada Križevaca namijenjena sufinanciranju troškova dnevnica odgojiteljica za vrijeme boravka polaznika programa predškole u dječjem odmaralištu na Pagu.</w:t>
        <w:br/>
        <w:t>Donacije trgovačkih društava (34,98 EUR): Sredstva ostvarena sudjelovanjem u ekološkom projektu sakupljanja starih baterija, namijenjena daljnjem razvoju ekološke svijesti polaznika.</w:t>
      </w:r>
    </w:p>
    <w:p>
      <w:pPr>
        <w:pStyle w:val="Normal"/>
        <w:bidi w:val="0"/>
        <w:jc w:val="left"/>
        <w:rPr/>
      </w:pPr>
      <w:r>
        <w:rPr/>
      </w:r>
    </w:p>
    <w:p>
      <w:pPr>
        <w:pStyle w:val="Normal"/>
        <w:keepNext w:val="true"/>
        <w:bidi w:val="0"/>
        <w:spacing w:lineRule="auto" w:line="240"/>
        <w:jc w:val="center"/>
        <w:rPr/>
      </w:pPr>
      <w:r>
        <w:rPr>
          <w:sz w:val="28"/>
        </w:rPr>
        <w:t>Bilješka 5.</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6711</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Prihodi iz nadležnog proračuna za financiranje rashoda poslovanja</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6711</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1.147.374,38</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1.554.569,19</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135,5</w:t>
            </w:r>
          </w:p>
        </w:tc>
      </w:tr>
    </w:tbl>
    <w:p>
      <w:pPr>
        <w:pStyle w:val="Normal"/>
        <w:bidi w:val="0"/>
        <w:spacing w:before="0" w:after="0"/>
        <w:jc w:val="left"/>
        <w:rPr/>
      </w:pPr>
      <w:r>
        <w:rPr/>
      </w:r>
    </w:p>
    <w:p>
      <w:pPr>
        <w:pStyle w:val="Normal"/>
        <w:bidi w:val="0"/>
        <w:jc w:val="left"/>
        <w:rPr/>
      </w:pPr>
      <w:r>
        <w:rPr/>
        <w:t>Prihodi iz nadležnog proračuna (skupina 67) ostvareni su u ukupnom iznosu od 1.554.569,19 EUR, što predstavlja povećanje u odnosu na prethodnu godinu. Navedeni iznos obuhvaća sredstva Osnivača (Grad Križevci) te sredstva iz Državnog proračuna za fiskalnu održivost dječjih vrtića.</w:t>
        <w:br/>
        <w:t>Prihodi za financiranje rashoda poslovanja primarno su korišteni za:</w:t>
        <w:br/>
        <w:t>Rashode za zaposlene: Porast je uzrokovan povećanjem osnovice plaće, primjenom novih koeficijenata složenosti poslova od lipnja 2024. godine te zapošljavanjem dodatnog osoblja. Također, izvršena je isplata razlike plaće temeljem sudskih sporova (tužbi) djelatnika za razdoblje ožujak – svibanj 2024. godine.</w:t>
        <w:br/>
        <w:t>Materijalne rashode: Financiranje tekućeg poslovanja ustanove u manjem dijelu.</w:t>
      </w:r>
    </w:p>
    <w:p>
      <w:pPr>
        <w:pStyle w:val="Normal"/>
        <w:bidi w:val="0"/>
        <w:jc w:val="left"/>
        <w:rPr/>
      </w:pPr>
      <w:r>
        <w:rPr/>
      </w:r>
    </w:p>
    <w:p>
      <w:pPr>
        <w:pStyle w:val="Normal"/>
        <w:keepNext w:val="true"/>
        <w:bidi w:val="0"/>
        <w:spacing w:lineRule="auto" w:line="240"/>
        <w:jc w:val="center"/>
        <w:rPr/>
      </w:pPr>
      <w:r>
        <w:rPr>
          <w:sz w:val="28"/>
        </w:rPr>
        <w:t>Bilješka 6.</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6712</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Prihodi iz nadležnog proračuna za financiranje rashoda za nabavu nefinancijske imovine</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6712</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15.152,01</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7.181,44</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47,4</w:t>
            </w:r>
          </w:p>
        </w:tc>
      </w:tr>
    </w:tbl>
    <w:p>
      <w:pPr>
        <w:pStyle w:val="Normal"/>
        <w:bidi w:val="0"/>
        <w:spacing w:before="0" w:after="0"/>
        <w:jc w:val="left"/>
        <w:rPr/>
      </w:pPr>
      <w:r>
        <w:rPr/>
      </w:r>
    </w:p>
    <w:p>
      <w:pPr>
        <w:pStyle w:val="Normal"/>
        <w:bidi w:val="0"/>
        <w:jc w:val="left"/>
        <w:rPr/>
      </w:pPr>
      <w:r>
        <w:rPr/>
        <w:t>Prihodi za nabavu nefinancijske imovine uključuju iznos od 7.181,44 EUR doznačen u 2025. godini za nabavu namještaja, perilice rublja i usisavača. Specifičnost ove stavke je što su sredstva planirana i nabava izvršena u 2024. godini, dok je stvarna doznaka i isplata sredstava realizirana u 2025. godini.</w:t>
      </w:r>
    </w:p>
    <w:p>
      <w:pPr>
        <w:pStyle w:val="Normal"/>
        <w:bidi w:val="0"/>
        <w:jc w:val="left"/>
        <w:rPr/>
      </w:pPr>
      <w:r>
        <w:rPr/>
      </w:r>
    </w:p>
    <w:p>
      <w:pPr>
        <w:pStyle w:val="Normal"/>
        <w:keepNext w:val="true"/>
        <w:bidi w:val="0"/>
        <w:spacing w:lineRule="auto" w:line="240"/>
        <w:jc w:val="center"/>
        <w:rPr/>
      </w:pPr>
      <w:r>
        <w:rPr>
          <w:sz w:val="28"/>
        </w:rPr>
        <w:t>Bilješka 7.</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RASHODI POSLOVANJA (šifre 31+32+34+35+36+37+38)</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1.327.316,48</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1.887.808,74</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142,2</w:t>
            </w:r>
          </w:p>
        </w:tc>
      </w:tr>
    </w:tbl>
    <w:p>
      <w:pPr>
        <w:pStyle w:val="Normal"/>
        <w:bidi w:val="0"/>
        <w:spacing w:before="0" w:after="0"/>
        <w:jc w:val="left"/>
        <w:rPr/>
      </w:pPr>
      <w:r>
        <w:rPr/>
      </w:r>
    </w:p>
    <w:p>
      <w:pPr>
        <w:pStyle w:val="Normal"/>
        <w:bidi w:val="0"/>
        <w:jc w:val="left"/>
        <w:rPr/>
      </w:pPr>
      <w:r>
        <w:rPr/>
        <w:t>Ukupni rashodi i izdaci u izvještajnom razdoblju od 01. 01. do 31. 12. 2025. godine ostvareni su u iznosu od 1.887.808,74 EUR, što predstavlja povećanje od 42,2% u odnosu na prethodnu izvještajnu godinu.</w:t>
        <w:br/>
        <w:t>Značajan porast rashoda u 2025. godini rezultat je kumulativnog djelovanja sljedećih čimbenika:</w:t>
        <w:br/>
        <w:t>Povećanje troškova osoblja: Do rasta je došlo zbog povećanja osnovice za obračun plaća, primjene novih koeficijenata složenosti poslova (od lipnja 2024. godine) te zapošljavanja dodatnog osoblja radi povećanog obuhvata djece u vrtićkim skupinama. U tekućoj su godini isplaćene razlike plaća temeljem sudskih sporova s djelatnicima za razdoblje ožujak – svibanj 2024. godine.</w:t>
        <w:br/>
        <w:t>Primjena računovodstvenih načela: Sukladno načelu nastanka događaja, u rashode 2025. godine uključena je i plaća za prosinac 2025. (</w:t>
      </w:r>
      <w:r>
        <w:rPr/>
        <w:t xml:space="preserve">obračunata </w:t>
      </w:r>
      <w:r>
        <w:rPr/>
        <w:t>i evidentirana kao obveza na dan 31. 12. 2025.), dok je njezina stvarna isplata uslijedila u siječnju 2026. godine.</w:t>
        <w:br/>
        <w:t>Materijalni rashodi: Porast uključuje i veće troškove energenata i namirnica zbog većeg broja polaznika za koje su sredstva realizirana u tekućoj godini.</w:t>
        <w:br/>
        <w:t> </w:t>
        <w:br/>
        <w:t> </w:t>
        <w:br/>
        <w:t> </w:t>
      </w:r>
    </w:p>
    <w:p>
      <w:pPr>
        <w:pStyle w:val="Normal"/>
        <w:bidi w:val="0"/>
        <w:jc w:val="left"/>
        <w:rPr/>
      </w:pPr>
      <w:r>
        <w:rPr/>
      </w:r>
    </w:p>
    <w:p>
      <w:pPr>
        <w:pStyle w:val="Normal"/>
        <w:keepNext w:val="true"/>
        <w:bidi w:val="0"/>
        <w:spacing w:lineRule="auto" w:line="240"/>
        <w:jc w:val="center"/>
        <w:rPr/>
      </w:pPr>
      <w:r>
        <w:rPr>
          <w:sz w:val="28"/>
        </w:rPr>
        <w:t>Bilješka 8.</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3111</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Plaće za redovan rad</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3111</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884.092,56</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1.349.451,92</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152,6</w:t>
            </w:r>
          </w:p>
        </w:tc>
      </w:tr>
    </w:tbl>
    <w:p>
      <w:pPr>
        <w:pStyle w:val="Normal"/>
        <w:bidi w:val="0"/>
        <w:spacing w:before="0" w:after="0"/>
        <w:jc w:val="left"/>
        <w:rPr/>
      </w:pPr>
      <w:r>
        <w:rPr/>
      </w:r>
    </w:p>
    <w:p>
      <w:pPr>
        <w:pStyle w:val="Normal"/>
        <w:bidi w:val="0"/>
        <w:jc w:val="left"/>
        <w:rPr/>
      </w:pPr>
      <w:r>
        <w:rPr/>
        <w:t>Rashodi za plaće za redovan rad u 2025. godini ostvareni su u iznosu od 1.349.451,92 EUR, što predstavlja značajno povećanje od 52,6% u odnosu na prethodnu izvještajnu godinu.</w:t>
        <w:br/>
        <w:t>Glavni razlozi ovako visokog rasta su Zakonska i ugovorna povećanja primanja. Tijekom 2024. i 2025. godine došlo je do rasta osnovice za obračun plaća te primjene novih, uvećanih koeficijenata složenosti poslova (sukladno Uredbi/Kolektivnom ugovoru od lipnja 2024.), što se u punom godišnjem iznosu reflektiralo na rashode 2025. godine.</w:t>
        <w:br/>
        <w:t xml:space="preserve">Došlo je i do povećanja broja izvršitelja zbog većeg obuhvata djece u dječjem vrtiću i otvaranja nove </w:t>
      </w:r>
      <w:r>
        <w:rPr/>
        <w:t>odgojne</w:t>
      </w:r>
      <w:r>
        <w:rPr/>
        <w:t xml:space="preserve"> skupine, zaposlen je dodatni broj odgojitelja i ostalog osoblja, što je izravno utjecalo na rast mase plaća. U okviru ovog konta iskazani su i troškovi razlike plaća isplaćeni temeljem sudskih presuda za razdoblje ožujak – svibanj 2024. godine.</w:t>
        <w:br/>
        <w:t>Troškovi plaća za 2025. godinu uključuju i obračun plaće za prosinac, budući da se taj rashod odnosi na rad obavljen u izvještajnom razdoblju. Iako će isplata biti izvršena u siječnju iduće godine, stavka je uvrštena u ovo izvješće kako bi se prikazao stvarni trošak svih 12 mjeseci rada u tekućoj godini.</w:t>
      </w:r>
    </w:p>
    <w:p>
      <w:pPr>
        <w:pStyle w:val="Normal"/>
        <w:bidi w:val="0"/>
        <w:jc w:val="left"/>
        <w:rPr/>
      </w:pPr>
      <w:r>
        <w:rPr/>
      </w:r>
    </w:p>
    <w:p>
      <w:pPr>
        <w:pStyle w:val="Normal"/>
        <w:keepNext w:val="true"/>
        <w:bidi w:val="0"/>
        <w:spacing w:lineRule="auto" w:line="240"/>
        <w:jc w:val="center"/>
        <w:rPr/>
      </w:pPr>
      <w:r>
        <w:rPr>
          <w:sz w:val="28"/>
        </w:rPr>
        <w:t>Bilješka 9.</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312</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Ostali rashodi za zaposlene</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312</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82.477,18</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78.495,72</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95,2</w:t>
            </w:r>
          </w:p>
        </w:tc>
      </w:tr>
    </w:tbl>
    <w:p>
      <w:pPr>
        <w:pStyle w:val="Normal"/>
        <w:bidi w:val="0"/>
        <w:spacing w:before="0" w:after="0"/>
        <w:jc w:val="left"/>
        <w:rPr/>
      </w:pPr>
      <w:r>
        <w:rPr/>
      </w:r>
    </w:p>
    <w:p>
      <w:pPr>
        <w:pStyle w:val="Normal"/>
        <w:bidi w:val="0"/>
        <w:jc w:val="left"/>
        <w:rPr/>
      </w:pPr>
      <w:r>
        <w:rPr/>
        <w:t>Rashodi na kontu 312 obuhvaćaju isplate materijalnih prava zaposlenika koja su realizirana u skladu s odredbama Kolektivnog ugovora za zaposlenike u Dječjem vrtiću Križevci te unutar neoporezivih iznosa propisanih Pravilnikom o porezu na dohodak.</w:t>
        <w:br/>
        <w:t>U izvještajnom razdoblju isplaćene su sljedeće naknade:</w:t>
        <w:br/>
        <w:t>Otpremnina koja je isplaćena sukladno odredbama Kolektivnog ugovora pri odlasku zaposlenice u mirovinu; jubilarne nagrade koje su isplaćene za navršene godine staža zaposlenicima koji su ostvarili to pravo u 2025. godini. Isplaćene su i naknade za darove djeci zaposlenika koji su realizirani povodom blagdana sv. Nikole. Također tokom 2025. godine isplaćene su i pomoći u slučaju bolesti i smrti kao potpora zaposlenicima u teškim životnim situacijama, u skladu s važećim propisima.</w:t>
        <w:br/>
      </w:r>
    </w:p>
    <w:p>
      <w:pPr>
        <w:pStyle w:val="Normal"/>
        <w:bidi w:val="0"/>
        <w:jc w:val="left"/>
        <w:rPr/>
      </w:pPr>
      <w:r>
        <w:rPr/>
      </w:r>
    </w:p>
    <w:p>
      <w:pPr>
        <w:pStyle w:val="Normal"/>
        <w:keepNext w:val="true"/>
        <w:bidi w:val="0"/>
        <w:spacing w:lineRule="auto" w:line="240"/>
        <w:jc w:val="center"/>
        <w:rPr/>
      </w:pPr>
      <w:r>
        <w:rPr>
          <w:sz w:val="28"/>
        </w:rPr>
        <w:t>Bilješka 10.</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3132</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Doprinosi za obvezno zdravstveno osiguranje</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3132</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143.989,11</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219.767,44</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152,6</w:t>
            </w:r>
          </w:p>
        </w:tc>
      </w:tr>
    </w:tbl>
    <w:p>
      <w:pPr>
        <w:pStyle w:val="Normal"/>
        <w:bidi w:val="0"/>
        <w:spacing w:before="0" w:after="0"/>
        <w:jc w:val="left"/>
        <w:rPr/>
      </w:pPr>
      <w:r>
        <w:rPr/>
      </w:r>
    </w:p>
    <w:p>
      <w:pPr>
        <w:pStyle w:val="Normal"/>
        <w:bidi w:val="0"/>
        <w:jc w:val="left"/>
        <w:rPr/>
      </w:pPr>
      <w:r>
        <w:rPr/>
        <w:t>Doprinosi na osnovicu (skupina 313) ostvareni su u većem iznosu za 52,6% u odnosu na isto izvještajno razdoblje prethodne godine. Navedeno povećanje u potpunosti korelira s rastom rashoda za plaće za redovan rad (konto 3111). Rast je izravna posljedica obračuna zakonski propisane stope doprinosa za zdravstveno osiguranje na uvećanu bruto osnovicu, koja je rasla zbog novih koeficijenata, povećanja broja djelatnika te isplata po sudskim presudama</w:t>
      </w:r>
    </w:p>
    <w:p>
      <w:pPr>
        <w:pStyle w:val="Normal"/>
        <w:bidi w:val="0"/>
        <w:jc w:val="left"/>
        <w:rPr/>
      </w:pPr>
      <w:r>
        <w:rPr/>
      </w:r>
    </w:p>
    <w:p>
      <w:pPr>
        <w:pStyle w:val="Normal"/>
        <w:keepNext w:val="true"/>
        <w:bidi w:val="0"/>
        <w:spacing w:lineRule="auto" w:line="240"/>
        <w:jc w:val="center"/>
        <w:rPr/>
      </w:pPr>
      <w:r>
        <w:rPr>
          <w:sz w:val="28"/>
        </w:rPr>
        <w:t>Bilješka 11.</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321</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Naknade troškova zaposlenima (šifre 3211 do 3214)</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321</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22.878,02</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26.301,20</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115,0</w:t>
            </w:r>
          </w:p>
        </w:tc>
      </w:tr>
    </w:tbl>
    <w:p>
      <w:pPr>
        <w:pStyle w:val="Normal"/>
        <w:bidi w:val="0"/>
        <w:spacing w:before="0" w:after="0"/>
        <w:jc w:val="left"/>
        <w:rPr/>
      </w:pPr>
      <w:r>
        <w:rPr/>
      </w:r>
    </w:p>
    <w:p>
      <w:pPr>
        <w:pStyle w:val="Normal"/>
        <w:bidi w:val="0"/>
        <w:jc w:val="left"/>
        <w:rPr/>
      </w:pPr>
      <w:r>
        <w:rPr/>
        <w:t>Ukupni rashodi na kontu 321 iznose 26.301,20 EUR, što predstavlja porast od 15% u odnosu na 2024. godinu. </w:t>
        <w:br/>
        <w:t>Naknade za prijevoz na posao i s posla (konto 3213) bilježe rast od 24,4%. Ovo povećanje rezultat je većeg broja zaposlenih djelatnika u odnosu na prethodnu godinu. Rashodi za službena putovanja ostvareni su u značajno manjem iznosu, s padom od 49,9% u odnosu na prethodnu godinu, što ukazuje na racionalizaciju troškova terenskog rada i dnevnica. Naknade za stručno usavršavanje zaposlenih bilježe smanjenje od 16,5%. Razlog smanjenja je činjenica da su zaposlenici u izvještajnom razdoblju primarno pohađali edukacije i stručna usavršavanja za koja nije bilo potrebno plaćati kotizacije (besplatni seminari i webinar-edukacije).</w:t>
        <w:br/>
        <w:t> </w:t>
        <w:br/>
        <w:t> </w:t>
        <w:br/>
        <w:t> </w:t>
      </w:r>
    </w:p>
    <w:p>
      <w:pPr>
        <w:pStyle w:val="Normal"/>
        <w:bidi w:val="0"/>
        <w:jc w:val="left"/>
        <w:rPr/>
      </w:pPr>
      <w:r>
        <w:rPr/>
      </w:r>
    </w:p>
    <w:p>
      <w:pPr>
        <w:pStyle w:val="Normal"/>
        <w:keepNext w:val="true"/>
        <w:bidi w:val="0"/>
        <w:spacing w:lineRule="auto" w:line="240"/>
        <w:jc w:val="center"/>
        <w:rPr/>
      </w:pPr>
      <w:r>
        <w:rPr>
          <w:sz w:val="28"/>
        </w:rPr>
        <w:t>Bilješka 12.</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322</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Rashodi za materijal i energiju (šifre 3221 do 3227)</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322</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146.451,49</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160.664,17</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109,7</w:t>
            </w:r>
          </w:p>
        </w:tc>
      </w:tr>
    </w:tbl>
    <w:p>
      <w:pPr>
        <w:pStyle w:val="Normal"/>
        <w:bidi w:val="0"/>
        <w:spacing w:before="0" w:after="0"/>
        <w:jc w:val="left"/>
        <w:rPr/>
      </w:pPr>
      <w:r>
        <w:rPr/>
      </w:r>
    </w:p>
    <w:p>
      <w:pPr>
        <w:pStyle w:val="Normal"/>
        <w:bidi w:val="0"/>
        <w:jc w:val="left"/>
        <w:rPr/>
      </w:pPr>
      <w:r>
        <w:rPr/>
        <w:t>Ukupni rashodi u skupini 322 bilježe porast od 9,7% u odnosu na prethodnu godinu. Detaljna analiza po kontima pokazuje sljedeće razloge odstupanja:</w:t>
        <w:br/>
        <w:t>Uredski materijal i ostali materijalni rashodi (konto 3221) bilježe porast od 11,8%, što je rezultat povećanih potreba za potrošnim materijalom uslijed rasta broja zaposlenika i polaznika vrtića, uz utjecaj općeg rasta tržišnih cijena. Namirnice (konto 32224): Rashodi su porasli za 12,4%. Ovo povećanje izravno je u vezi s većim brojem djece koja su boravila u vrtiću u 2025. godini, što je dovelo do veće potrošnje hrane.</w:t>
        <w:br/>
        <w:t>Materijal i dijelovi za tekuće i investicijsko održavanje (konto 3224): Zabilježeno je smanjenje od 25,2%, što ukazuje na to da je u izvještajnom razdoblju bilo manje potreba za hitnim popravcima i zamjenom dijelova u odnosu na prethodnu godinu.</w:t>
        <w:br/>
        <w:t>Značajan porast na stavci Službene, radne i zaštitne odjeće i obuće (konto 3227)  rezultat je nabave opreme. U 2025. godini izvršena je planska nabava radne obuće za sve zaposlenike ustanove te nabava radnih kuta za odgojiteljice, što je stavka koja se ne javlja u punom obujmu svake izvještajne godine, već se provodi prema potrebi obnove zaštitne opreme.</w:t>
      </w:r>
    </w:p>
    <w:p>
      <w:pPr>
        <w:pStyle w:val="Normal"/>
        <w:bidi w:val="0"/>
        <w:jc w:val="left"/>
        <w:rPr/>
      </w:pPr>
      <w:r>
        <w:rPr/>
      </w:r>
    </w:p>
    <w:p>
      <w:pPr>
        <w:pStyle w:val="Normal"/>
        <w:keepNext w:val="true"/>
        <w:bidi w:val="0"/>
        <w:spacing w:lineRule="auto" w:line="240"/>
        <w:jc w:val="center"/>
        <w:rPr/>
      </w:pPr>
      <w:r>
        <w:rPr>
          <w:sz w:val="28"/>
        </w:rPr>
        <w:t>Bilješka 13.</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3234</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Komunalne usluge</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3234</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7.464,68</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8.985,61</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120,4</w:t>
            </w:r>
          </w:p>
        </w:tc>
      </w:tr>
    </w:tbl>
    <w:p>
      <w:pPr>
        <w:pStyle w:val="Normal"/>
        <w:bidi w:val="0"/>
        <w:spacing w:before="0" w:after="0"/>
        <w:jc w:val="left"/>
        <w:rPr/>
      </w:pPr>
      <w:r>
        <w:rPr/>
      </w:r>
    </w:p>
    <w:p>
      <w:pPr>
        <w:pStyle w:val="Normal"/>
        <w:bidi w:val="0"/>
        <w:jc w:val="left"/>
        <w:rPr/>
      </w:pPr>
      <w:r>
        <w:rPr/>
        <w:t>Rashodi za komunalne usluge (konto 3234) bilježe porast od 20,4% u odnosu na prethodnu godinu. Ovo odstupanje prvenstveno je rezultat rasta cijena javnih usluga (vodoopskrba, odvoz otpada) na lokalnoj razini, ali i povećane potrošnje koja je izravno povezana s većim brojem djece u vrtiću i povećanim intenzitetom korištenja objekta.</w:t>
      </w:r>
    </w:p>
    <w:p>
      <w:pPr>
        <w:pStyle w:val="Normal"/>
        <w:bidi w:val="0"/>
        <w:jc w:val="left"/>
        <w:rPr/>
      </w:pPr>
      <w:r>
        <w:rPr/>
      </w:r>
    </w:p>
    <w:p>
      <w:pPr>
        <w:pStyle w:val="Normal"/>
        <w:keepNext w:val="true"/>
        <w:bidi w:val="0"/>
        <w:spacing w:lineRule="auto" w:line="240"/>
        <w:jc w:val="center"/>
        <w:rPr/>
      </w:pPr>
      <w:r>
        <w:rPr>
          <w:sz w:val="28"/>
        </w:rPr>
        <w:t>Bilješka 14.</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3235</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Zakupnine i najamnine</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3235</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3.028,17</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5.520,14</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182,3</w:t>
            </w:r>
          </w:p>
        </w:tc>
      </w:tr>
    </w:tbl>
    <w:p>
      <w:pPr>
        <w:pStyle w:val="Normal"/>
        <w:bidi w:val="0"/>
        <w:spacing w:before="0" w:after="0"/>
        <w:jc w:val="left"/>
        <w:rPr/>
      </w:pPr>
      <w:r>
        <w:rPr/>
      </w:r>
    </w:p>
    <w:p>
      <w:pPr>
        <w:pStyle w:val="Normal"/>
        <w:bidi w:val="0"/>
        <w:jc w:val="left"/>
        <w:rPr/>
      </w:pPr>
      <w:r>
        <w:rPr/>
        <w:t>Rashodi za zakupnine i najamnine (konto 3235) veći su za 82,3% u odnosu na prethodnu godinu. S obzirom na to da ustanova pisače i multifunkcionalne uređaje koristi putem postojećeg modela najma, ovo značajno povećanje rashoda isključivo je rezultat povećanog intenziteta korištenja uređaja (veći broj ispisa i kopija). Povećana potreba za ispisom materijala izravno je povezana s porastom broja polaznika i odgojnih skupina, što je zahtijevalo veću količinu radnih i administrativnih materijala u 2025. godini</w:t>
      </w:r>
    </w:p>
    <w:p>
      <w:pPr>
        <w:pStyle w:val="Normal"/>
        <w:bidi w:val="0"/>
        <w:jc w:val="left"/>
        <w:rPr/>
      </w:pPr>
      <w:r>
        <w:rPr/>
      </w:r>
    </w:p>
    <w:p>
      <w:pPr>
        <w:pStyle w:val="Normal"/>
        <w:keepNext w:val="true"/>
        <w:bidi w:val="0"/>
        <w:spacing w:lineRule="auto" w:line="240"/>
        <w:jc w:val="center"/>
        <w:rPr/>
      </w:pPr>
      <w:r>
        <w:rPr>
          <w:sz w:val="28"/>
        </w:rPr>
        <w:t>Bilješka 15.</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3238</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Računalne usluge</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3238</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1.769,06</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4.723,13</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267,0</w:t>
            </w:r>
          </w:p>
        </w:tc>
      </w:tr>
    </w:tbl>
    <w:p>
      <w:pPr>
        <w:pStyle w:val="Normal"/>
        <w:bidi w:val="0"/>
        <w:spacing w:before="0" w:after="0"/>
        <w:jc w:val="left"/>
        <w:rPr/>
      </w:pPr>
      <w:r>
        <w:rPr/>
      </w:r>
    </w:p>
    <w:p>
      <w:pPr>
        <w:pStyle w:val="Normal"/>
        <w:bidi w:val="0"/>
        <w:jc w:val="left"/>
        <w:rPr/>
      </w:pPr>
      <w:r>
        <w:rPr/>
        <w:t>Značajno povećanje rashoda na kontu Računalne usluge (3238) rezultat je rasta cijena održavanja ključnih informacijskih sustava ustanove. Porast se prvenstveno odnosi na održavanje informacijskog sustava riznice te održavanje računalnog programa za elektroničko uredsko poslovanje. Došlo je do rasta cijene usluge od strane pružatelja radi usklađivanja s novim tehničkim zahtjevima i standardima izvještavanja. </w:t>
      </w:r>
    </w:p>
    <w:p>
      <w:pPr>
        <w:pStyle w:val="Normal"/>
        <w:bidi w:val="0"/>
        <w:jc w:val="left"/>
        <w:rPr/>
      </w:pPr>
      <w:r>
        <w:rPr/>
      </w:r>
    </w:p>
    <w:p>
      <w:pPr>
        <w:pStyle w:val="Normal"/>
        <w:keepNext w:val="true"/>
        <w:bidi w:val="0"/>
        <w:spacing w:lineRule="auto" w:line="240"/>
        <w:jc w:val="center"/>
        <w:rPr/>
      </w:pPr>
      <w:r>
        <w:rPr>
          <w:sz w:val="28"/>
        </w:rPr>
        <w:t>Bilješka 16.</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3295</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Pristojbe i naknade</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3295</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2.491,26</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3.055,43</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122,6</w:t>
            </w:r>
          </w:p>
        </w:tc>
      </w:tr>
    </w:tbl>
    <w:p>
      <w:pPr>
        <w:pStyle w:val="Normal"/>
        <w:bidi w:val="0"/>
        <w:spacing w:before="0" w:after="0"/>
        <w:jc w:val="left"/>
        <w:rPr/>
      </w:pPr>
      <w:r>
        <w:rPr/>
      </w:r>
    </w:p>
    <w:p>
      <w:pPr>
        <w:pStyle w:val="Normal"/>
        <w:bidi w:val="0"/>
        <w:jc w:val="left"/>
        <w:rPr/>
      </w:pPr>
      <w:r>
        <w:rPr/>
        <w:t>Na kontu Pristojbe i naknade (3295) zabilježeno je povećanje rashoda u odnosu na prethodnu godinu. Navedeni rast izravno je povezan sa sljedećim aktivnostima:</w:t>
        <w:br/>
        <w:t>Sudske i javnobilježničke pristojbe gdje je do povećanja došlo zbog troškova vođenja sudskih postupaka (ranije spomenute tužbe djelatnika) te povezanih javnobilježničkih radnji potrebnih za pravno zastupanje i ovjeru dokumentacije.</w:t>
        <w:br/>
        <w:t>Naknada zbog nezapošljavanja osoba s invaliditetom gdje je do rasta došlo  zbog zakonske obveze plaćanja novčane naknade u situacijama kada ustanova, unatoč povećanju ukupnog broja zaposlenih, nije uspjela ispuniti propisanu kvotu zapošljavanja osoba s invaliditetom sukladno važećim propisima. Ovi rashodi predstavljaju zakonsku obvezu ustanove proizašlu iz trenutne strukture zaposlenika i vođenih pravnih postupaka.</w:t>
      </w:r>
    </w:p>
    <w:p>
      <w:pPr>
        <w:pStyle w:val="Normal"/>
        <w:bidi w:val="0"/>
        <w:jc w:val="left"/>
        <w:rPr/>
      </w:pPr>
      <w:r>
        <w:rPr/>
      </w:r>
    </w:p>
    <w:p>
      <w:pPr>
        <w:pStyle w:val="Normal"/>
        <w:keepNext w:val="true"/>
        <w:bidi w:val="0"/>
        <w:spacing w:lineRule="auto" w:line="240"/>
        <w:jc w:val="center"/>
        <w:rPr/>
      </w:pPr>
      <w:r>
        <w:rPr>
          <w:sz w:val="28"/>
        </w:rPr>
        <w:t>Bilješka 17.</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343</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Ostali financijski rashodi (šifre 3431 do 3434)</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343</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1.264,21</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3.370,29</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266,6</w:t>
            </w:r>
          </w:p>
        </w:tc>
      </w:tr>
    </w:tbl>
    <w:p>
      <w:pPr>
        <w:pStyle w:val="Normal"/>
        <w:bidi w:val="0"/>
        <w:spacing w:before="0" w:after="0"/>
        <w:jc w:val="left"/>
        <w:rPr/>
      </w:pPr>
      <w:r>
        <w:rPr/>
      </w:r>
    </w:p>
    <w:p>
      <w:pPr>
        <w:pStyle w:val="Normal"/>
        <w:bidi w:val="0"/>
        <w:jc w:val="left"/>
        <w:rPr/>
      </w:pPr>
      <w:r>
        <w:rPr/>
        <w:t>Na kontu Ostali financijski rashodi (skupina 343) iskazano je znatno povećanje u odnosu na prethodnu godinu. Ovako visok rast isključivo je rezultat isplate zateznih kamata koje su obračunate uz isplatu razlika plaća za ožujak, travanj i svibanj 2024. godine. Budući da su navedene obveze podmirene temeljem sudskih nagodbi u 2025. godini, ustanova je bila obvezna uz glavnicu isplatiti i pripadajuće kamate, što je dovelo do izvanrednog rasta rashoda u ovoj skupini.</w:t>
      </w:r>
    </w:p>
    <w:p>
      <w:pPr>
        <w:pStyle w:val="Normal"/>
        <w:bidi w:val="0"/>
        <w:jc w:val="left"/>
        <w:rPr/>
      </w:pPr>
      <w:r>
        <w:rPr/>
      </w:r>
    </w:p>
    <w:p>
      <w:pPr>
        <w:pStyle w:val="Normal"/>
        <w:keepNext w:val="true"/>
        <w:bidi w:val="0"/>
        <w:spacing w:lineRule="auto" w:line="240"/>
        <w:jc w:val="center"/>
        <w:rPr/>
      </w:pPr>
      <w:r>
        <w:rPr>
          <w:sz w:val="28"/>
        </w:rPr>
        <w:t>Bilješka 18.</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rFonts w:ascii="Times New Roman" w:hAnsi="Times New Roman"/>
                <w:sz w:val="18"/>
              </w:rPr>
            </w:pPr>
            <w:r>
              <w:rPr>
                <w:sz w:val="18"/>
              </w:rPr>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MANJAK PRIHODA POSLOVANJA (šifre Z005-6)</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Y001</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100.417,18</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Na dan 31. 12. 2025. godine iskazan je manjak prihoda poslovanja, koji je prvenstveno rezultat primjene načela nastanka događaja pri obračunu troškova osoblja. Naime, u rashode tekuće godine uključen je puni iznos obračunate plaće za prosinac 2025., dok će pripadajući prihodi iz nadležnog proračuna za njezino pokriće biti doznačeni i evidentirani u siječnju 2026. godine, prema uobičajenoj dinamici financiranja Osnivača.</w:t>
        <w:br/>
        <w:t>Ovaj manjak je tehničke naravi te ne ugrožava likvidnost ustanove, a bit će u potpunosti pokriven iz sredstava osiguranih u proračunu za narednu godinu, čime će se uskladiti prihodna i rashodna strana ovog poslovnog događaja.</w:t>
      </w:r>
    </w:p>
    <w:p>
      <w:pPr>
        <w:pStyle w:val="Normal"/>
        <w:bidi w:val="0"/>
        <w:jc w:val="left"/>
        <w:rPr/>
      </w:pPr>
      <w:r>
        <w:rPr/>
      </w:r>
    </w:p>
    <w:p>
      <w:pPr>
        <w:pStyle w:val="Normal"/>
        <w:keepNext w:val="true"/>
        <w:bidi w:val="0"/>
        <w:spacing w:lineRule="auto" w:line="240"/>
        <w:jc w:val="center"/>
        <w:rPr/>
      </w:pPr>
      <w:r>
        <w:rPr>
          <w:sz w:val="28"/>
        </w:rPr>
        <w:t>Bilješka 19.</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422</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Postrojenja i oprema (šifre 4221 do 4228)</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422</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25.759,46</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7.850,16</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30,5</w:t>
            </w:r>
          </w:p>
        </w:tc>
      </w:tr>
    </w:tbl>
    <w:p>
      <w:pPr>
        <w:pStyle w:val="Normal"/>
        <w:bidi w:val="0"/>
        <w:spacing w:before="0" w:after="0"/>
        <w:jc w:val="left"/>
        <w:rPr/>
      </w:pPr>
      <w:r>
        <w:rPr/>
      </w:r>
    </w:p>
    <w:p>
      <w:pPr>
        <w:pStyle w:val="Normal"/>
        <w:bidi w:val="0"/>
        <w:jc w:val="left"/>
        <w:rPr/>
      </w:pPr>
      <w:r>
        <w:rPr/>
        <w:t>Rashodi za nabavu postrojenja i opreme (skupina 422) bilježe smanjenje u odnosu na prethodnu izvještajnu godinu. Navedeni pad rezultat je manje potrebe za nabavom nove dugotrajne imovine u tekućoj godini, s obzirom na to da je značajan dio opremanja (poput ranije spomenute perilice, namještaja i usisavača) realiziran početkom godine iz sredstava osiguranih u prethodnom razdoblju. U 2025. godini fokus financiranja bio je usmjeren na pokriće operativnih troškova poslovanja i rashoda za zaposlene, što je utjecalo na smanjenje opsega novih kapitalnih ulaganja u opremu.</w:t>
      </w:r>
    </w:p>
    <w:p>
      <w:pPr>
        <w:pStyle w:val="Normal"/>
        <w:bidi w:val="0"/>
        <w:jc w:val="left"/>
        <w:rPr/>
      </w:pPr>
      <w:r>
        <w:rPr/>
      </w:r>
    </w:p>
    <w:p>
      <w:pPr>
        <w:pStyle w:val="Normal"/>
        <w:keepNext w:val="true"/>
        <w:bidi w:val="0"/>
        <w:spacing w:lineRule="auto" w:line="240"/>
        <w:jc w:val="center"/>
        <w:rPr/>
      </w:pPr>
      <w:r>
        <w:rPr>
          <w:sz w:val="28"/>
        </w:rPr>
        <w:t>Bilješka 20.</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rFonts w:ascii="Times New Roman" w:hAnsi="Times New Roman"/>
                <w:sz w:val="18"/>
              </w:rPr>
            </w:pPr>
            <w:r>
              <w:rPr>
                <w:sz w:val="18"/>
              </w:rPr>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Prosječan broj zaposlenih kod korisnika na osnovi stanja na početku i na kraju izvještajnog razdoblja (cijeli broj)</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Z007</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45,00</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54,00</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120,0</w:t>
            </w:r>
          </w:p>
        </w:tc>
      </w:tr>
    </w:tbl>
    <w:p>
      <w:pPr>
        <w:pStyle w:val="Normal"/>
        <w:bidi w:val="0"/>
        <w:spacing w:before="0" w:after="0"/>
        <w:jc w:val="left"/>
        <w:rPr/>
      </w:pPr>
      <w:r>
        <w:rPr/>
      </w:r>
    </w:p>
    <w:p>
      <w:pPr>
        <w:pStyle w:val="Normal"/>
        <w:bidi w:val="0"/>
        <w:jc w:val="left"/>
        <w:rPr/>
      </w:pPr>
      <w:r>
        <w:rPr/>
        <w:t>Povećanje broja izvršitelja u 2025. godini uvjetovano je otvaranjem dodatne odgojne skupine zbog većeg broja upisane djece, što je zahtijevalo angažman novog odgojnog i pratećeg osoblja.</w:t>
      </w:r>
    </w:p>
    <w:p>
      <w:pPr>
        <w:pStyle w:val="Normal"/>
        <w:bidi w:val="0"/>
        <w:jc w:val="left"/>
        <w:rPr/>
      </w:pPr>
      <w:r>
        <w:rPr/>
      </w:r>
    </w:p>
    <w:p>
      <w:pPr>
        <w:pStyle w:val="Normal"/>
        <w:keepNext w:val="true"/>
        <w:bidi w:val="0"/>
        <w:spacing w:lineRule="auto" w:line="240"/>
        <w:jc w:val="center"/>
        <w:rPr/>
      </w:pPr>
      <w:r>
        <w:rPr>
          <w:b/>
          <w:sz w:val="28"/>
        </w:rPr>
        <w:t>Bilanca</w:t>
      </w:r>
    </w:p>
    <w:p>
      <w:pPr>
        <w:pStyle w:val="Normal"/>
        <w:keepNext w:val="true"/>
        <w:bidi w:val="0"/>
        <w:spacing w:lineRule="auto" w:line="240"/>
        <w:jc w:val="center"/>
        <w:rPr/>
      </w:pPr>
      <w:r>
        <w:rPr>
          <w:sz w:val="28"/>
        </w:rPr>
        <w:t>Bilješka 21.</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1. siječnja</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31. prosinca</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IMOVINA (šifre B002+1)</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B001</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299.736,59</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309.018,08</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103,1</w:t>
            </w:r>
          </w:p>
        </w:tc>
      </w:tr>
    </w:tbl>
    <w:p>
      <w:pPr>
        <w:pStyle w:val="Normal"/>
        <w:bidi w:val="0"/>
        <w:spacing w:before="0" w:after="0"/>
        <w:jc w:val="left"/>
        <w:rPr/>
      </w:pPr>
      <w:r>
        <w:rPr/>
      </w:r>
    </w:p>
    <w:p>
      <w:pPr>
        <w:pStyle w:val="Normal"/>
        <w:bidi w:val="0"/>
        <w:jc w:val="left"/>
        <w:rPr/>
      </w:pPr>
      <w:r>
        <w:rPr/>
        <w:t>Tijekom 2025. godine zabilježeno je povećanje vrijednosti nefinancijske imovine, koje je isključivo rezultat nabave nove opreme potrebne za redovno poslovanje ustanove. Povećanje se odnosi na nabavu namještaja, perilice rublja te usisavača za što su sredstva osigurana u nadležnom proračunu. Navedena imovina stavljena je u uporabu te je za istu izvršen obračun ispravka vrijednosti (amortizacije) sukladno propisanim stopama za tu vrstu imovine.</w:t>
      </w:r>
    </w:p>
    <w:p>
      <w:pPr>
        <w:pStyle w:val="Normal"/>
        <w:bidi w:val="0"/>
        <w:jc w:val="left"/>
        <w:rPr/>
      </w:pPr>
      <w:r>
        <w:rPr/>
      </w:r>
    </w:p>
    <w:p>
      <w:pPr>
        <w:pStyle w:val="Normal"/>
        <w:keepNext w:val="true"/>
        <w:bidi w:val="0"/>
        <w:spacing w:lineRule="auto" w:line="240"/>
        <w:jc w:val="center"/>
        <w:rPr/>
      </w:pPr>
      <w:r>
        <w:rPr>
          <w:sz w:val="28"/>
        </w:rPr>
        <w:t>Bilješka 22.</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1. siječnja</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31. prosinca</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1</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Financijska imovina (šifre 11+12+13+14+15+16+17+19)</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1</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227.113,20</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242.405,20</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106,7</w:t>
            </w:r>
          </w:p>
        </w:tc>
      </w:tr>
    </w:tbl>
    <w:p>
      <w:pPr>
        <w:pStyle w:val="Normal"/>
        <w:bidi w:val="0"/>
        <w:spacing w:before="0" w:after="0"/>
        <w:jc w:val="left"/>
        <w:rPr/>
      </w:pPr>
      <w:r>
        <w:rPr/>
      </w:r>
    </w:p>
    <w:p>
      <w:pPr>
        <w:pStyle w:val="Normal"/>
        <w:bidi w:val="0"/>
        <w:jc w:val="left"/>
        <w:rPr/>
      </w:pPr>
      <w:r>
        <w:rPr/>
        <w:t>Na kraju izvještajnog razdoblja, financijska imovina ustanove iznosi 242.405,20 EUR, što predstavlja porast u odnosu na početak godine. Strukturu ove imovine čine novčana sredstva odnosno gotovina u blagajni namijenjena tekućem poslovanju, potraživanja za poreze odnosno potraživanja s osnova više uplaćenog poreza. Potraživanja za prihode poslovanja odnose se na dospjele, a nenaplaćene obveze roditelja za usluge vrtića. Blagi porast na ovoj stavci korelira s povećanim brojem upisane djece u 2025. godini. Potraživanja uplaćena u nadležni proračun se odnose na sredstva doznačena u proračun Osnivača (Grad Križevci) koja su namijenjena pokriću dospjelih obveza korisnika u narednom razdoblju. Iskazana financijska imovina osigurava potrebnu razinu likvidnosti za početak naredne proračunske godine.</w:t>
      </w:r>
    </w:p>
    <w:p>
      <w:pPr>
        <w:pStyle w:val="Normal"/>
        <w:bidi w:val="0"/>
        <w:jc w:val="left"/>
        <w:rPr/>
      </w:pPr>
      <w:r>
        <w:rPr/>
      </w:r>
    </w:p>
    <w:p>
      <w:pPr>
        <w:pStyle w:val="Normal"/>
        <w:keepNext w:val="true"/>
        <w:bidi w:val="0"/>
        <w:spacing w:lineRule="auto" w:line="240"/>
        <w:jc w:val="center"/>
        <w:rPr/>
      </w:pPr>
      <w:r>
        <w:rPr>
          <w:sz w:val="28"/>
        </w:rPr>
        <w:t>Bilješka 23.</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1. siječnja</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31. prosinca</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231</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Obveze za zaposlene</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231</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117.446,31</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Na dan 31. 12. 2025. godine zabilježeno je znatno povećanje obveza za zaposlene u odnosu na početak godine. Glavni razlogovog porasta je</w:t>
        <w:br/>
        <w:t>obračun plaće za prosinac 2025. Sukladno načelu nastanka događaja, plaća za prosinac (uključujući pripadajuće poreze i doprinose) proknjižena je kao obveza u 2025. godini, dok će njezina isplata biti izvršena u siječnju 2026. </w:t>
      </w:r>
    </w:p>
    <w:p>
      <w:pPr>
        <w:pStyle w:val="Normal"/>
        <w:bidi w:val="0"/>
        <w:jc w:val="left"/>
        <w:rPr/>
      </w:pPr>
      <w:r>
        <w:rPr/>
      </w:r>
    </w:p>
    <w:p>
      <w:pPr>
        <w:pStyle w:val="Normal"/>
        <w:keepNext w:val="true"/>
        <w:bidi w:val="0"/>
        <w:spacing w:lineRule="auto" w:line="240"/>
        <w:jc w:val="center"/>
        <w:rPr/>
      </w:pPr>
      <w:r>
        <w:rPr>
          <w:sz w:val="28"/>
        </w:rPr>
        <w:t>Bilješka 24.</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1. siječnja</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31. prosinca</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232</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Obveze za materijalne rashode</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232</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7.809,40</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9.719,16</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124,5</w:t>
            </w:r>
          </w:p>
        </w:tc>
      </w:tr>
    </w:tbl>
    <w:p>
      <w:pPr>
        <w:pStyle w:val="Normal"/>
        <w:bidi w:val="0"/>
        <w:spacing w:before="0" w:after="0"/>
        <w:jc w:val="left"/>
        <w:rPr/>
      </w:pPr>
      <w:r>
        <w:rPr/>
      </w:r>
    </w:p>
    <w:p>
      <w:pPr>
        <w:pStyle w:val="Normal"/>
        <w:bidi w:val="0"/>
        <w:jc w:val="left"/>
        <w:rPr/>
      </w:pPr>
      <w:r>
        <w:rPr/>
        <w:t>Obveze za materijalne rashode na dan 31. 12. 2025. godine odnose se na troškove nastale u prosincu (energenti, komunalne usluge, namirnice i uredski materijal) s dospijećem plaćanja u siječnju 2026. godine. Obveze su evidentirane u 2025. godini sukladno načelu nastanka događaja, a bit će podmirene u zakonskim rokovima.</w:t>
      </w:r>
    </w:p>
    <w:p>
      <w:pPr>
        <w:pStyle w:val="Normal"/>
        <w:bidi w:val="0"/>
        <w:jc w:val="left"/>
        <w:rPr/>
      </w:pPr>
      <w:r>
        <w:rPr/>
      </w:r>
    </w:p>
    <w:p>
      <w:pPr>
        <w:pStyle w:val="Normal"/>
        <w:keepNext w:val="true"/>
        <w:bidi w:val="0"/>
        <w:spacing w:lineRule="auto" w:line="240"/>
        <w:jc w:val="center"/>
        <w:rPr/>
      </w:pPr>
      <w:r>
        <w:rPr>
          <w:sz w:val="28"/>
        </w:rPr>
        <w:t>Bilješka 25.</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1. siječnja</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31. prosinca</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922</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Rezultat - višak/manjak (šifre 9221-9222)</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922</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123.700,26</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15.432,92</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12,5</w:t>
            </w:r>
          </w:p>
        </w:tc>
      </w:tr>
    </w:tbl>
    <w:p>
      <w:pPr>
        <w:pStyle w:val="Normal"/>
        <w:bidi w:val="0"/>
        <w:spacing w:before="0" w:after="0"/>
        <w:jc w:val="left"/>
        <w:rPr/>
      </w:pPr>
      <w:r>
        <w:rPr/>
      </w:r>
    </w:p>
    <w:p>
      <w:pPr>
        <w:pStyle w:val="Normal"/>
        <w:bidi w:val="0"/>
        <w:jc w:val="left"/>
        <w:rPr/>
      </w:pPr>
      <w:r>
        <w:rPr/>
        <w:t>Do smanjenja na ovom kontu došlo je prvenstveno zbog uključivanja plaće za prosinac u rashode 2025. godine. Budući da se taj trošak odnosi na rad obavljen u prosincu, on pripada izvještajnoj godini, iako će sredstva od Grada biti doznačena i isplaćena tek u siječnju 2026. Taj vremenski razmak između evidentiranja troška i primitka prihoda glavni je razlog iskazanog manjeg rezultata na kraju godine.</w:t>
      </w:r>
    </w:p>
    <w:p>
      <w:pPr>
        <w:pStyle w:val="Normal"/>
        <w:bidi w:val="0"/>
        <w:jc w:val="left"/>
        <w:rPr/>
      </w:pPr>
      <w:r>
        <w:rPr/>
      </w:r>
    </w:p>
    <w:p>
      <w:pPr>
        <w:pStyle w:val="Normal"/>
        <w:keepNext w:val="true"/>
        <w:bidi w:val="0"/>
        <w:spacing w:lineRule="auto" w:line="240"/>
        <w:jc w:val="center"/>
        <w:rPr/>
      </w:pPr>
      <w:r>
        <w:rPr>
          <w:b/>
          <w:sz w:val="28"/>
        </w:rPr>
        <w:t>Izvještaj o rashodima prema funkcijskoj klasifikaciji</w:t>
      </w:r>
    </w:p>
    <w:p>
      <w:pPr>
        <w:pStyle w:val="Normal"/>
        <w:keepNext w:val="true"/>
        <w:bidi w:val="0"/>
        <w:spacing w:lineRule="auto" w:line="240"/>
        <w:jc w:val="center"/>
        <w:rPr/>
      </w:pPr>
      <w:r>
        <w:rPr>
          <w:sz w:val="28"/>
        </w:rPr>
        <w:t>Bilješka 26.</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09</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Obrazovanje (šifre 091+092+093+094+095+096+097+098)</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09</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1.353.075,94</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1.895.658,90</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140,1</w:t>
            </w:r>
          </w:p>
        </w:tc>
      </w:tr>
    </w:tbl>
    <w:p>
      <w:pPr>
        <w:pStyle w:val="Normal"/>
        <w:bidi w:val="0"/>
        <w:spacing w:before="0" w:after="0"/>
        <w:jc w:val="left"/>
        <w:rPr/>
      </w:pPr>
      <w:r>
        <w:rPr/>
      </w:r>
    </w:p>
    <w:p>
      <w:pPr>
        <w:pStyle w:val="Normal"/>
        <w:bidi w:val="0"/>
        <w:jc w:val="left"/>
        <w:rPr/>
      </w:pPr>
      <w:r>
        <w:rPr/>
        <w:t>Povećanje rashoda na stavci 0911 (Predškolsko obrazovanje) rezultat je usklađivanja materijalnih prava zaposlenika s novim propisima, povećanja broja izvršitelja te rasta ukupnih operativnih troškova ustanove. Do rasta je došlo zbog većeg obuhvata djece u odgojnim skupinama i nužnog ulaganja u održavanje standarda rada i informacijske infrastrukture vrtića u 2025. godini.</w:t>
      </w:r>
    </w:p>
    <w:p>
      <w:pPr>
        <w:pStyle w:val="Normal"/>
        <w:bidi w:val="0"/>
        <w:jc w:val="left"/>
        <w:rPr/>
      </w:pPr>
      <w:r>
        <w:rPr/>
      </w:r>
    </w:p>
    <w:p>
      <w:pPr>
        <w:pStyle w:val="Normal"/>
        <w:keepNext w:val="true"/>
        <w:bidi w:val="0"/>
        <w:spacing w:lineRule="auto" w:line="240"/>
        <w:jc w:val="center"/>
        <w:rPr/>
      </w:pPr>
      <w:r>
        <w:rPr>
          <w:b/>
          <w:sz w:val="28"/>
        </w:rPr>
        <w:t>Promjene u vrijednosti i obujmu imovine i obveza</w:t>
      </w:r>
    </w:p>
    <w:p>
      <w:pPr>
        <w:pStyle w:val="Normal"/>
        <w:keepNext w:val="true"/>
        <w:bidi w:val="0"/>
        <w:spacing w:lineRule="auto" w:line="240"/>
        <w:jc w:val="center"/>
        <w:rPr/>
      </w:pPr>
      <w:r>
        <w:rPr>
          <w:sz w:val="28"/>
        </w:rPr>
        <w:t>Bilješka 27.</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Iznos povećanja</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Iznos smanjenja</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rFonts w:ascii="Times New Roman" w:hAnsi="Times New Roman"/>
                <w:sz w:val="18"/>
              </w:rPr>
            </w:pPr>
            <w:r>
              <w:rPr>
                <w:sz w:val="18"/>
              </w:rPr>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Proizvedena dugotrajna imovina</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P003</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13.860,67</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Iznos smanjenja odnosi se na redovni obračun amortizacije nefinancijske imovine za 2025. godinu. Smanjenje je iskazano primjenom propisanih godišnjih stopa ispravka vrijednosti kako bi se knjigovodstveno stanje opreme</w:t>
      </w:r>
    </w:p>
    <w:p>
      <w:pPr>
        <w:pStyle w:val="Normal"/>
        <w:bidi w:val="0"/>
        <w:jc w:val="left"/>
        <w:rPr/>
      </w:pPr>
      <w:r>
        <w:rPr/>
      </w:r>
    </w:p>
    <w:p>
      <w:pPr>
        <w:pStyle w:val="Normal"/>
        <w:keepNext w:val="true"/>
        <w:bidi w:val="0"/>
        <w:spacing w:lineRule="auto" w:line="240"/>
        <w:jc w:val="center"/>
        <w:rPr/>
      </w:pPr>
      <w:r>
        <w:rPr>
          <w:b/>
          <w:sz w:val="28"/>
        </w:rPr>
        <w:t>Izvještaj o obvezama</w:t>
      </w:r>
    </w:p>
    <w:p>
      <w:pPr>
        <w:pStyle w:val="Normal"/>
        <w:keepNext w:val="true"/>
        <w:bidi w:val="0"/>
        <w:spacing w:lineRule="auto" w:line="240"/>
        <w:jc w:val="center"/>
        <w:rPr/>
      </w:pPr>
      <w:r>
        <w:rPr>
          <w:sz w:val="28"/>
        </w:rPr>
        <w:t>Bilješka 28.</w:t>
      </w:r>
    </w:p>
    <w:tbl>
      <w:tblPr>
        <w:tblW w:w="9000" w:type="dxa"/>
        <w:jc w:val="left"/>
        <w:tblInd w:w="55" w:type="dxa"/>
        <w:tblLayout w:type="fixed"/>
        <w:tblCellMar>
          <w:top w:w="0" w:type="dxa"/>
          <w:left w:w="40" w:type="dxa"/>
          <w:bottom w:w="0" w:type="dxa"/>
          <w:right w:w="40" w:type="dxa"/>
        </w:tblCellMar>
      </w:tblPr>
      <w:tblGrid>
        <w:gridCol w:w="882"/>
        <w:gridCol w:w="4007"/>
        <w:gridCol w:w="883"/>
        <w:gridCol w:w="2346"/>
        <w:gridCol w:w="882"/>
      </w:tblGrid>
      <w:tr>
        <w:trPr>
          <w:cantSplit w:val="true"/>
        </w:trPr>
        <w:tc>
          <w:tcPr>
            <w:tcW w:w="882"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4007"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883"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2346"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Iznos</w:t>
            </w:r>
          </w:p>
        </w:tc>
        <w:tc>
          <w:tcPr>
            <w:tcW w:w="882"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882"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r>
          </w:p>
        </w:tc>
        <w:tc>
          <w:tcPr>
            <w:tcW w:w="4007"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Stanje obveza 1. siječnja (=stanju obveza iz Izvještaja o obvezama na 31. prosinca prethodne godine)</w:t>
            </w:r>
          </w:p>
        </w:tc>
        <w:tc>
          <w:tcPr>
            <w:tcW w:w="883"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V001</w:t>
            </w:r>
          </w:p>
        </w:tc>
        <w:tc>
          <w:tcPr>
            <w:tcW w:w="2346"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16.110,08</w:t>
            </w:r>
          </w:p>
        </w:tc>
        <w:tc>
          <w:tcPr>
            <w:tcW w:w="882"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Stanje obveza na dan 01. sječnja 2025. godine koje se odnosi na obveze nastale u 2024. godini , a koje su podmirene početkom 2025. godine.</w:t>
      </w:r>
    </w:p>
    <w:p>
      <w:pPr>
        <w:pStyle w:val="Normal"/>
        <w:bidi w:val="0"/>
        <w:jc w:val="left"/>
        <w:rPr/>
      </w:pPr>
      <w:r>
        <w:rPr/>
      </w:r>
    </w:p>
    <w:p>
      <w:pPr>
        <w:pStyle w:val="Normal"/>
        <w:keepNext w:val="true"/>
        <w:bidi w:val="0"/>
        <w:spacing w:lineRule="auto" w:line="240"/>
        <w:jc w:val="center"/>
        <w:rPr/>
      </w:pPr>
      <w:r>
        <w:rPr>
          <w:sz w:val="28"/>
        </w:rPr>
        <w:t>Bilješka 29.</w:t>
      </w:r>
    </w:p>
    <w:tbl>
      <w:tblPr>
        <w:tblW w:w="9000" w:type="dxa"/>
        <w:jc w:val="left"/>
        <w:tblInd w:w="55" w:type="dxa"/>
        <w:tblLayout w:type="fixed"/>
        <w:tblCellMar>
          <w:top w:w="0" w:type="dxa"/>
          <w:left w:w="40" w:type="dxa"/>
          <w:bottom w:w="0" w:type="dxa"/>
          <w:right w:w="40" w:type="dxa"/>
        </w:tblCellMar>
      </w:tblPr>
      <w:tblGrid>
        <w:gridCol w:w="882"/>
        <w:gridCol w:w="4007"/>
        <w:gridCol w:w="883"/>
        <w:gridCol w:w="2346"/>
        <w:gridCol w:w="882"/>
      </w:tblGrid>
      <w:tr>
        <w:trPr>
          <w:cantSplit w:val="true"/>
        </w:trPr>
        <w:tc>
          <w:tcPr>
            <w:tcW w:w="882"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4007"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883"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2346"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Iznos</w:t>
            </w:r>
          </w:p>
        </w:tc>
        <w:tc>
          <w:tcPr>
            <w:tcW w:w="882"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882"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r>
          </w:p>
        </w:tc>
        <w:tc>
          <w:tcPr>
            <w:tcW w:w="4007"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Međusobne obveze subjekata općeg proračuna</w:t>
            </w:r>
          </w:p>
        </w:tc>
        <w:tc>
          <w:tcPr>
            <w:tcW w:w="883"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V003</w:t>
            </w:r>
          </w:p>
        </w:tc>
        <w:tc>
          <w:tcPr>
            <w:tcW w:w="2346"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14.452,62</w:t>
            </w:r>
          </w:p>
        </w:tc>
        <w:tc>
          <w:tcPr>
            <w:tcW w:w="882"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U razdoblju od 01. siječnja do 31. prosinca 2025. godine nastalo je 14.452,62 eura obveza koje se prvenstveno odnose na plaćanje materijala i usluga po predračunima. </w:t>
      </w:r>
    </w:p>
    <w:p>
      <w:pPr>
        <w:pStyle w:val="Normal"/>
        <w:bidi w:val="0"/>
        <w:jc w:val="left"/>
        <w:rPr/>
      </w:pPr>
      <w:r>
        <w:rPr/>
      </w:r>
    </w:p>
    <w:p>
      <w:pPr>
        <w:pStyle w:val="Normal"/>
        <w:keepNext w:val="true"/>
        <w:bidi w:val="0"/>
        <w:spacing w:lineRule="auto" w:line="240"/>
        <w:jc w:val="center"/>
        <w:rPr/>
      </w:pPr>
      <w:r>
        <w:rPr>
          <w:sz w:val="28"/>
        </w:rPr>
        <w:t>Bilješka 30.</w:t>
      </w:r>
    </w:p>
    <w:tbl>
      <w:tblPr>
        <w:tblW w:w="9000" w:type="dxa"/>
        <w:jc w:val="left"/>
        <w:tblInd w:w="55" w:type="dxa"/>
        <w:tblLayout w:type="fixed"/>
        <w:tblCellMar>
          <w:top w:w="0" w:type="dxa"/>
          <w:left w:w="40" w:type="dxa"/>
          <w:bottom w:w="0" w:type="dxa"/>
          <w:right w:w="40" w:type="dxa"/>
        </w:tblCellMar>
      </w:tblPr>
      <w:tblGrid>
        <w:gridCol w:w="882"/>
        <w:gridCol w:w="4007"/>
        <w:gridCol w:w="883"/>
        <w:gridCol w:w="2346"/>
        <w:gridCol w:w="882"/>
      </w:tblGrid>
      <w:tr>
        <w:trPr>
          <w:cantSplit w:val="true"/>
        </w:trPr>
        <w:tc>
          <w:tcPr>
            <w:tcW w:w="882"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4007"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883"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2346"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Iznos</w:t>
            </w:r>
          </w:p>
        </w:tc>
        <w:tc>
          <w:tcPr>
            <w:tcW w:w="882"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882"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23</w:t>
            </w:r>
          </w:p>
        </w:tc>
        <w:tc>
          <w:tcPr>
            <w:tcW w:w="4007"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Obveze za rashode poslovanja (šifre N231 do N239)</w:t>
            </w:r>
          </w:p>
        </w:tc>
        <w:tc>
          <w:tcPr>
            <w:tcW w:w="883"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N23</w:t>
            </w:r>
          </w:p>
        </w:tc>
        <w:tc>
          <w:tcPr>
            <w:tcW w:w="2346"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1.887.813,95</w:t>
            </w:r>
          </w:p>
        </w:tc>
        <w:tc>
          <w:tcPr>
            <w:tcW w:w="882"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Iznos pod šifrom N23 odnosi se na ukupne obveze za rashode poslovanja iskazane na dan 31. 12. 2025. godine. Navedena stavka obuhvaća sve obračunate obveze nastale u izvještajnom razdoblju koje su potrebne za redovno funkcioniranje ustanove, a evidentirane su sukladno načelu nastanka događaja.</w:t>
      </w:r>
    </w:p>
    <w:p>
      <w:pPr>
        <w:pStyle w:val="Normal"/>
        <w:bidi w:val="0"/>
        <w:jc w:val="left"/>
        <w:rPr/>
      </w:pPr>
      <w:r>
        <w:rPr/>
      </w:r>
    </w:p>
    <w:p>
      <w:pPr>
        <w:pStyle w:val="Normal"/>
        <w:keepNext w:val="true"/>
        <w:bidi w:val="0"/>
        <w:spacing w:lineRule="auto" w:line="240"/>
        <w:jc w:val="center"/>
        <w:rPr/>
      </w:pPr>
      <w:r>
        <w:rPr>
          <w:sz w:val="28"/>
        </w:rPr>
        <w:t>Bilješka 31.</w:t>
      </w:r>
    </w:p>
    <w:tbl>
      <w:tblPr>
        <w:tblW w:w="9000" w:type="dxa"/>
        <w:jc w:val="left"/>
        <w:tblInd w:w="55" w:type="dxa"/>
        <w:tblLayout w:type="fixed"/>
        <w:tblCellMar>
          <w:top w:w="0" w:type="dxa"/>
          <w:left w:w="40" w:type="dxa"/>
          <w:bottom w:w="0" w:type="dxa"/>
          <w:right w:w="40" w:type="dxa"/>
        </w:tblCellMar>
      </w:tblPr>
      <w:tblGrid>
        <w:gridCol w:w="882"/>
        <w:gridCol w:w="4007"/>
        <w:gridCol w:w="883"/>
        <w:gridCol w:w="2346"/>
        <w:gridCol w:w="882"/>
      </w:tblGrid>
      <w:tr>
        <w:trPr>
          <w:cantSplit w:val="true"/>
        </w:trPr>
        <w:tc>
          <w:tcPr>
            <w:tcW w:w="882"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4007"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883"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2346"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Iznos</w:t>
            </w:r>
          </w:p>
        </w:tc>
        <w:tc>
          <w:tcPr>
            <w:tcW w:w="882"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882"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24</w:t>
            </w:r>
          </w:p>
        </w:tc>
        <w:tc>
          <w:tcPr>
            <w:tcW w:w="4007"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Obveze za nabavu nefinancijske imovine</w:t>
            </w:r>
          </w:p>
        </w:tc>
        <w:tc>
          <w:tcPr>
            <w:tcW w:w="883"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N24</w:t>
            </w:r>
          </w:p>
        </w:tc>
        <w:tc>
          <w:tcPr>
            <w:tcW w:w="2346"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7.850,16</w:t>
            </w:r>
          </w:p>
        </w:tc>
        <w:tc>
          <w:tcPr>
            <w:tcW w:w="882"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U ovom izvještajnom razdoblju nastale obveze za nabavu nefinancijske imovine u iznosu od 7.850,16 eura. Navedena stavka obuhvaća vrijednost svih obveza koje su proizašle iz nabave dugotrajne imovine i opreme potrebne za rad ustanove.</w:t>
      </w:r>
    </w:p>
    <w:p>
      <w:pPr>
        <w:pStyle w:val="Normal"/>
        <w:bidi w:val="0"/>
        <w:jc w:val="left"/>
        <w:rPr/>
      </w:pPr>
      <w:r>
        <w:rPr/>
      </w:r>
    </w:p>
    <w:p>
      <w:pPr>
        <w:pStyle w:val="Normal"/>
        <w:keepNext w:val="true"/>
        <w:bidi w:val="0"/>
        <w:spacing w:lineRule="auto" w:line="240"/>
        <w:jc w:val="center"/>
        <w:rPr/>
      </w:pPr>
      <w:r>
        <w:rPr>
          <w:sz w:val="28"/>
        </w:rPr>
        <w:t>Bilješka 32.</w:t>
      </w:r>
    </w:p>
    <w:tbl>
      <w:tblPr>
        <w:tblW w:w="9000" w:type="dxa"/>
        <w:jc w:val="left"/>
        <w:tblInd w:w="55" w:type="dxa"/>
        <w:tblLayout w:type="fixed"/>
        <w:tblCellMar>
          <w:top w:w="0" w:type="dxa"/>
          <w:left w:w="40" w:type="dxa"/>
          <w:bottom w:w="0" w:type="dxa"/>
          <w:right w:w="40" w:type="dxa"/>
        </w:tblCellMar>
      </w:tblPr>
      <w:tblGrid>
        <w:gridCol w:w="882"/>
        <w:gridCol w:w="4007"/>
        <w:gridCol w:w="883"/>
        <w:gridCol w:w="2346"/>
        <w:gridCol w:w="882"/>
      </w:tblGrid>
      <w:tr>
        <w:trPr>
          <w:cantSplit w:val="true"/>
        </w:trPr>
        <w:tc>
          <w:tcPr>
            <w:tcW w:w="882"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4007"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883"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2346"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Iznos</w:t>
            </w:r>
          </w:p>
        </w:tc>
        <w:tc>
          <w:tcPr>
            <w:tcW w:w="882"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882"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r>
          </w:p>
        </w:tc>
        <w:tc>
          <w:tcPr>
            <w:tcW w:w="4007"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Međusobne obveze subjekata općeg proračuna</w:t>
            </w:r>
          </w:p>
        </w:tc>
        <w:tc>
          <w:tcPr>
            <w:tcW w:w="883"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V005</w:t>
            </w:r>
          </w:p>
        </w:tc>
        <w:tc>
          <w:tcPr>
            <w:tcW w:w="2346"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14.452,62</w:t>
            </w:r>
          </w:p>
        </w:tc>
        <w:tc>
          <w:tcPr>
            <w:tcW w:w="882"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U razdoblju od 01. siječnja do 31. prosinca 2025. godine podmireno je 14.452,62 eura obveza koje se prvenstveno odnose na plaćanje materijala i usluga po predračunima. </w:t>
      </w:r>
    </w:p>
    <w:p>
      <w:pPr>
        <w:pStyle w:val="Normal"/>
        <w:bidi w:val="0"/>
        <w:jc w:val="left"/>
        <w:rPr/>
      </w:pPr>
      <w:r>
        <w:rPr/>
      </w:r>
    </w:p>
    <w:p>
      <w:pPr>
        <w:pStyle w:val="Normal"/>
        <w:keepNext w:val="true"/>
        <w:bidi w:val="0"/>
        <w:spacing w:lineRule="auto" w:line="240"/>
        <w:jc w:val="center"/>
        <w:rPr/>
      </w:pPr>
      <w:r>
        <w:rPr>
          <w:sz w:val="28"/>
        </w:rPr>
        <w:t>Bilješka 33.</w:t>
      </w:r>
    </w:p>
    <w:tbl>
      <w:tblPr>
        <w:tblW w:w="9000" w:type="dxa"/>
        <w:jc w:val="left"/>
        <w:tblInd w:w="55" w:type="dxa"/>
        <w:tblLayout w:type="fixed"/>
        <w:tblCellMar>
          <w:top w:w="0" w:type="dxa"/>
          <w:left w:w="40" w:type="dxa"/>
          <w:bottom w:w="0" w:type="dxa"/>
          <w:right w:w="40" w:type="dxa"/>
        </w:tblCellMar>
      </w:tblPr>
      <w:tblGrid>
        <w:gridCol w:w="882"/>
        <w:gridCol w:w="4007"/>
        <w:gridCol w:w="883"/>
        <w:gridCol w:w="2346"/>
        <w:gridCol w:w="882"/>
      </w:tblGrid>
      <w:tr>
        <w:trPr>
          <w:cantSplit w:val="true"/>
        </w:trPr>
        <w:tc>
          <w:tcPr>
            <w:tcW w:w="882"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4007"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883"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2346"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Iznos</w:t>
            </w:r>
          </w:p>
        </w:tc>
        <w:tc>
          <w:tcPr>
            <w:tcW w:w="882"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882"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23</w:t>
            </w:r>
          </w:p>
        </w:tc>
        <w:tc>
          <w:tcPr>
            <w:tcW w:w="4007"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Obveze za rashode poslovanja (šifre P231 do P239)</w:t>
            </w:r>
          </w:p>
        </w:tc>
        <w:tc>
          <w:tcPr>
            <w:tcW w:w="883"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P23</w:t>
            </w:r>
          </w:p>
        </w:tc>
        <w:tc>
          <w:tcPr>
            <w:tcW w:w="2346"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1.768.387,97</w:t>
            </w:r>
          </w:p>
        </w:tc>
        <w:tc>
          <w:tcPr>
            <w:tcW w:w="882"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Ukupna vrijednost podmirenih obveza za rashode poslovanja tijekom 2025. godine iznosila je 1.768.387,97 eura. Iznos obuhvaća sva izvršena plaćanja za obveze nastale u izvještajnom razdoblju, a koje su bile nužne za osiguranje redovnih aktivnosti ustanove.</w:t>
      </w:r>
    </w:p>
    <w:p>
      <w:pPr>
        <w:pStyle w:val="Normal"/>
        <w:bidi w:val="0"/>
        <w:jc w:val="left"/>
        <w:rPr/>
      </w:pPr>
      <w:r>
        <w:rPr/>
      </w:r>
    </w:p>
    <w:p>
      <w:pPr>
        <w:pStyle w:val="Normal"/>
        <w:keepNext w:val="true"/>
        <w:bidi w:val="0"/>
        <w:spacing w:lineRule="auto" w:line="240"/>
        <w:jc w:val="center"/>
        <w:rPr/>
      </w:pPr>
      <w:r>
        <w:rPr>
          <w:sz w:val="28"/>
        </w:rPr>
        <w:t>Bilješka 34.</w:t>
      </w:r>
    </w:p>
    <w:tbl>
      <w:tblPr>
        <w:tblW w:w="9000" w:type="dxa"/>
        <w:jc w:val="left"/>
        <w:tblInd w:w="55" w:type="dxa"/>
        <w:tblLayout w:type="fixed"/>
        <w:tblCellMar>
          <w:top w:w="0" w:type="dxa"/>
          <w:left w:w="40" w:type="dxa"/>
          <w:bottom w:w="0" w:type="dxa"/>
          <w:right w:w="40" w:type="dxa"/>
        </w:tblCellMar>
      </w:tblPr>
      <w:tblGrid>
        <w:gridCol w:w="882"/>
        <w:gridCol w:w="4007"/>
        <w:gridCol w:w="883"/>
        <w:gridCol w:w="2346"/>
        <w:gridCol w:w="882"/>
      </w:tblGrid>
      <w:tr>
        <w:trPr>
          <w:cantSplit w:val="true"/>
        </w:trPr>
        <w:tc>
          <w:tcPr>
            <w:tcW w:w="882"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4007"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883"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2346"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Iznos</w:t>
            </w:r>
          </w:p>
        </w:tc>
        <w:tc>
          <w:tcPr>
            <w:tcW w:w="882"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882"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24</w:t>
            </w:r>
          </w:p>
        </w:tc>
        <w:tc>
          <w:tcPr>
            <w:tcW w:w="4007"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Obveze za nabavu nefinancijske imovine</w:t>
            </w:r>
          </w:p>
        </w:tc>
        <w:tc>
          <w:tcPr>
            <w:tcW w:w="883"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P24</w:t>
            </w:r>
          </w:p>
        </w:tc>
        <w:tc>
          <w:tcPr>
            <w:tcW w:w="2346"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15.031,60</w:t>
            </w:r>
          </w:p>
        </w:tc>
        <w:tc>
          <w:tcPr>
            <w:tcW w:w="882"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Iskazane su podmirene obveze za nabavu nefinancijske imovine u iznosu od 15.031,60 EUR. Navedena stavka obuhvaća ukupnu vrijednost podmirenih obveza koje su proizašle iz nabave dugotrajne imovine i opreme potrebne za rad ustanove tijekom izvještajnog razdoblja.</w:t>
      </w:r>
    </w:p>
    <w:p>
      <w:pPr>
        <w:pStyle w:val="Normal"/>
        <w:bidi w:val="0"/>
        <w:jc w:val="left"/>
        <w:rPr/>
      </w:pPr>
      <w:r>
        <w:rPr/>
      </w:r>
    </w:p>
    <w:p>
      <w:pPr>
        <w:pStyle w:val="Normal"/>
        <w:keepNext w:val="true"/>
        <w:bidi w:val="0"/>
        <w:spacing w:lineRule="auto" w:line="240"/>
        <w:jc w:val="center"/>
        <w:rPr/>
      </w:pPr>
      <w:r>
        <w:rPr>
          <w:sz w:val="28"/>
        </w:rPr>
        <w:t>Bilješka 35.</w:t>
      </w:r>
    </w:p>
    <w:tbl>
      <w:tblPr>
        <w:tblW w:w="9000" w:type="dxa"/>
        <w:jc w:val="left"/>
        <w:tblInd w:w="55" w:type="dxa"/>
        <w:tblLayout w:type="fixed"/>
        <w:tblCellMar>
          <w:top w:w="0" w:type="dxa"/>
          <w:left w:w="40" w:type="dxa"/>
          <w:bottom w:w="0" w:type="dxa"/>
          <w:right w:w="40" w:type="dxa"/>
        </w:tblCellMar>
      </w:tblPr>
      <w:tblGrid>
        <w:gridCol w:w="882"/>
        <w:gridCol w:w="4007"/>
        <w:gridCol w:w="883"/>
        <w:gridCol w:w="2346"/>
        <w:gridCol w:w="882"/>
      </w:tblGrid>
      <w:tr>
        <w:trPr>
          <w:cantSplit w:val="true"/>
        </w:trPr>
        <w:tc>
          <w:tcPr>
            <w:tcW w:w="882"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4007"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883"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2346"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Iznos</w:t>
            </w:r>
          </w:p>
        </w:tc>
        <w:tc>
          <w:tcPr>
            <w:tcW w:w="882"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882"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r>
          </w:p>
        </w:tc>
        <w:tc>
          <w:tcPr>
            <w:tcW w:w="4007"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Stanje dospjelih obveza na kraju izvještajnog razdoblja (šifre V008+D23+D24 + 'D dio 25,26' + D27)</w:t>
            </w:r>
          </w:p>
        </w:tc>
        <w:tc>
          <w:tcPr>
            <w:tcW w:w="883"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V007</w:t>
            </w:r>
          </w:p>
        </w:tc>
        <w:tc>
          <w:tcPr>
            <w:tcW w:w="2346"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337,48</w:t>
            </w:r>
          </w:p>
        </w:tc>
        <w:tc>
          <w:tcPr>
            <w:tcW w:w="882"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Navedene obveze u iznosu od 337,48 eura ostale su neizvršene uslijed dinamike administrativne obrade i protoka dokumentacije potkraj proračunske godine. Podmirenje istih predviđeno je kao prioritetno u siječnju 2026. godine</w:t>
      </w:r>
    </w:p>
    <w:p>
      <w:pPr>
        <w:pStyle w:val="Normal"/>
        <w:bidi w:val="0"/>
        <w:jc w:val="left"/>
        <w:rPr/>
      </w:pPr>
      <w:r>
        <w:rPr/>
      </w:r>
    </w:p>
    <w:p>
      <w:pPr>
        <w:pStyle w:val="Normal"/>
        <w:keepNext w:val="true"/>
        <w:bidi w:val="0"/>
        <w:spacing w:lineRule="auto" w:line="240"/>
        <w:jc w:val="center"/>
        <w:rPr/>
      </w:pPr>
      <w:r>
        <w:rPr>
          <w:sz w:val="28"/>
        </w:rPr>
        <w:t>Bilješka 36.</w:t>
      </w:r>
    </w:p>
    <w:tbl>
      <w:tblPr>
        <w:tblW w:w="9000" w:type="dxa"/>
        <w:jc w:val="left"/>
        <w:tblInd w:w="55" w:type="dxa"/>
        <w:tblLayout w:type="fixed"/>
        <w:tblCellMar>
          <w:top w:w="0" w:type="dxa"/>
          <w:left w:w="40" w:type="dxa"/>
          <w:bottom w:w="0" w:type="dxa"/>
          <w:right w:w="40" w:type="dxa"/>
        </w:tblCellMar>
      </w:tblPr>
      <w:tblGrid>
        <w:gridCol w:w="882"/>
        <w:gridCol w:w="4007"/>
        <w:gridCol w:w="883"/>
        <w:gridCol w:w="2346"/>
        <w:gridCol w:w="882"/>
      </w:tblGrid>
      <w:tr>
        <w:trPr>
          <w:cantSplit w:val="true"/>
        </w:trPr>
        <w:tc>
          <w:tcPr>
            <w:tcW w:w="882"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4007"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883"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2346"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Iznos</w:t>
            </w:r>
          </w:p>
        </w:tc>
        <w:tc>
          <w:tcPr>
            <w:tcW w:w="882"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882"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r>
          </w:p>
        </w:tc>
        <w:tc>
          <w:tcPr>
            <w:tcW w:w="4007"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Stanje nedospjelih obveza na kraju izvještajnog razdoblja (šifre V010 + ND23 + ND24 + 'ND dio 25,26' + ND27)</w:t>
            </w:r>
          </w:p>
        </w:tc>
        <w:tc>
          <w:tcPr>
            <w:tcW w:w="883"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V009</w:t>
            </w:r>
          </w:p>
        </w:tc>
        <w:tc>
          <w:tcPr>
            <w:tcW w:w="2346"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128.017,14</w:t>
            </w:r>
          </w:p>
        </w:tc>
        <w:tc>
          <w:tcPr>
            <w:tcW w:w="882"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Iznos iskazan pod šifrom V009 predstavlja ukupno stanje obveza na dan 31. 12. 2025. godine u iznosu od 128.017,14 EUR. Navedena stavka obuhvaća obveze za rashode zaposlenih, materijalne rashode te međusobne obveze subjekata općeg proračuna.</w:t>
      </w:r>
    </w:p>
    <w:p>
      <w:pPr>
        <w:pStyle w:val="Normal"/>
        <w:bidi w:val="0"/>
        <w:jc w:val="left"/>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4"/>
        <w:lang w:val="hr-HR" w:eastAsia="zh-CN" w:bidi="hi-IN"/>
      </w:rPr>
    </w:rPrDefault>
    <w:pPrDefault>
      <w:pPr>
        <w:suppressAutoHyphens w:val="true"/>
      </w:pPr>
    </w:pPrDefault>
  </w:docDefaults>
  <w:style w:type="paragraph" w:styleId="Normal" w:default="1">
    <w:name w:val="Normal"/>
    <w:qFormat/>
    <w:pPr>
      <w:widowControl w:val="false"/>
      <w:suppressAutoHyphens w:val="true"/>
      <w:bidi w:val="0"/>
      <w:spacing w:before="0" w:after="0"/>
      <w:jc w:val="left"/>
    </w:pPr>
    <w:rPr>
      <w:rFonts w:ascii="Times New Roman" w:hAnsi="Times New Roman" w:eastAsia="NSimSun" w:cs="Lucida Sans"/>
      <w:color w:val="auto"/>
      <w:kern w:val="0"/>
      <w:sz w:val="24"/>
      <w:szCs w:val="20"/>
      <w:lang w:val="hr-HR" w:eastAsia="zh-CN" w:bidi="hi-IN"/>
    </w:rPr>
  </w:style>
  <w:style w:type="paragraph" w:styleId="Stilnaslova">
    <w:name w:val="Stil naslova"/>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LibreOffice/24.8.0.3$Windows_X86_64 LibreOffice_project/0bdf1299c94fe897b119f97f3c613e9dca6be583</Application>
  <AppVersion>15.0000</AppVersion>
  <Pages>13</Pages>
  <Words>3891</Words>
  <Characters>23007</Characters>
  <CharactersWithSpaces>26384</CharactersWithSpaces>
  <Paragraphs>545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hr-HR</dc:language>
  <cp:lastModifiedBy/>
  <cp:lastPrinted>2026-02-02T21:08:14Z</cp:lastPrinted>
  <dcterms:modified xsi:type="dcterms:W3CDTF">2026-02-03T09:37:55Z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